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E9499" w14:textId="18E61614" w:rsidR="001D3022" w:rsidRPr="001D3022" w:rsidRDefault="001D3022" w:rsidP="001D3022">
      <w:pPr>
        <w:spacing w:after="240"/>
        <w:rPr>
          <w:rFonts w:ascii="Times New Roman" w:eastAsia="Times New Roman" w:hAnsi="Times New Roman" w:cs="Times New Roman"/>
          <w:lang w:eastAsia="es-MX"/>
        </w:rPr>
      </w:pPr>
      <w:r w:rsidRPr="001D3022">
        <w:rPr>
          <w:rFonts w:ascii="Times New Roman" w:eastAsia="Times New Roman" w:hAnsi="Times New Roman" w:cs="Times New Roman"/>
          <w:lang w:eastAsia="es-MX"/>
        </w:rPr>
        <w:br/>
      </w:r>
      <w:r w:rsidRPr="001D3022">
        <w:rPr>
          <w:rFonts w:ascii="Times New Roman" w:eastAsia="Times New Roman" w:hAnsi="Times New Roman" w:cs="Times New Roman"/>
          <w:lang w:eastAsia="es-MX"/>
        </w:rPr>
        <w:br/>
      </w:r>
    </w:p>
    <w:p w14:paraId="31D77BD6" w14:textId="77777777" w:rsidR="001D3022" w:rsidRPr="001D3022" w:rsidRDefault="001D3022" w:rsidP="001D3022">
      <w:pPr>
        <w:rPr>
          <w:rFonts w:ascii="Times New Roman" w:eastAsia="Times New Roman" w:hAnsi="Times New Roman" w:cs="Times New Roman"/>
          <w:lang w:eastAsia="es-MX"/>
        </w:rPr>
      </w:pPr>
      <w:r w:rsidRPr="001D3022">
        <w:rPr>
          <w:rFonts w:ascii="Times New Roman" w:eastAsia="Times New Roman" w:hAnsi="Times New Roman" w:cs="Times New Roman"/>
          <w:color w:val="000000"/>
          <w:sz w:val="32"/>
          <w:szCs w:val="32"/>
          <w:lang w:eastAsia="es-MX"/>
        </w:rPr>
        <w:t>Título del Protocolo:</w:t>
      </w:r>
      <w:r w:rsidRPr="001D3022">
        <w:rPr>
          <w:rFonts w:ascii="Times New Roman" w:eastAsia="Times New Roman" w:hAnsi="Times New Roman" w:cs="Times New Roman"/>
          <w:b/>
          <w:bCs/>
          <w:color w:val="000000"/>
          <w:sz w:val="32"/>
          <w:szCs w:val="32"/>
          <w:lang w:eastAsia="es-MX"/>
        </w:rPr>
        <w:t> </w:t>
      </w:r>
    </w:p>
    <w:p w14:paraId="32B69ACF" w14:textId="77777777" w:rsidR="001D3022" w:rsidRPr="001D3022" w:rsidRDefault="001D3022" w:rsidP="001D3022">
      <w:pPr>
        <w:jc w:val="center"/>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32"/>
          <w:szCs w:val="32"/>
          <w:lang w:eastAsia="es-MX"/>
        </w:rPr>
        <w:t>Estudio Observacional Retrospectivo del Linfoma del Manto en Latinoamérica entre los años 2012 y 2022.</w:t>
      </w:r>
    </w:p>
    <w:p w14:paraId="225DB76A" w14:textId="77777777" w:rsidR="001D3022" w:rsidRPr="001D3022" w:rsidRDefault="001D3022" w:rsidP="001D3022">
      <w:pPr>
        <w:spacing w:after="240"/>
        <w:rPr>
          <w:rFonts w:ascii="Times New Roman" w:eastAsia="Times New Roman" w:hAnsi="Times New Roman" w:cs="Times New Roman"/>
          <w:lang w:eastAsia="es-MX"/>
        </w:rPr>
      </w:pPr>
      <w:r w:rsidRPr="001D3022">
        <w:rPr>
          <w:rFonts w:ascii="Times New Roman" w:eastAsia="Times New Roman" w:hAnsi="Times New Roman" w:cs="Times New Roman"/>
          <w:lang w:eastAsia="es-MX"/>
        </w:rPr>
        <w:br/>
      </w:r>
      <w:r w:rsidRPr="001D3022">
        <w:rPr>
          <w:rFonts w:ascii="Times New Roman" w:eastAsia="Times New Roman" w:hAnsi="Times New Roman" w:cs="Times New Roman"/>
          <w:lang w:eastAsia="es-MX"/>
        </w:rPr>
        <w:br/>
      </w:r>
      <w:r w:rsidRPr="001D3022">
        <w:rPr>
          <w:rFonts w:ascii="Times New Roman" w:eastAsia="Times New Roman" w:hAnsi="Times New Roman" w:cs="Times New Roman"/>
          <w:lang w:eastAsia="es-MX"/>
        </w:rPr>
        <w:br/>
      </w:r>
    </w:p>
    <w:p w14:paraId="7CFDC14C" w14:textId="77777777" w:rsidR="00D23FFB" w:rsidRDefault="00D23FFB" w:rsidP="001D3022">
      <w:pPr>
        <w:rPr>
          <w:rFonts w:ascii="Times New Roman" w:eastAsia="Times New Roman" w:hAnsi="Times New Roman" w:cs="Times New Roman"/>
          <w:b/>
          <w:bCs/>
          <w:color w:val="000000"/>
          <w:sz w:val="28"/>
          <w:szCs w:val="28"/>
          <w:lang w:eastAsia="es-MX"/>
        </w:rPr>
      </w:pPr>
    </w:p>
    <w:p w14:paraId="0D08CB01" w14:textId="4E09CC27" w:rsidR="00D23FFB" w:rsidRDefault="00C45E32" w:rsidP="001D3022">
      <w:pPr>
        <w:rPr>
          <w:rFonts w:ascii="Times New Roman" w:eastAsia="Times New Roman" w:hAnsi="Times New Roman" w:cs="Times New Roman"/>
          <w:b/>
          <w:bCs/>
          <w:color w:val="000000"/>
          <w:sz w:val="28"/>
          <w:szCs w:val="28"/>
          <w:lang w:eastAsia="es-MX"/>
        </w:rPr>
      </w:pPr>
      <w:r w:rsidRPr="00955268">
        <w:rPr>
          <w:rFonts w:cstheme="minorHAnsi"/>
          <w:b/>
          <w:noProof/>
        </w:rPr>
        <w:drawing>
          <wp:inline distT="0" distB="0" distL="0" distR="0" wp14:anchorId="68E9C0D1" wp14:editId="6A970B28">
            <wp:extent cx="2801698" cy="750570"/>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8159" cy="757659"/>
                    </a:xfrm>
                    <a:prstGeom prst="rect">
                      <a:avLst/>
                    </a:prstGeom>
                    <a:noFill/>
                    <a:ln>
                      <a:noFill/>
                    </a:ln>
                  </pic:spPr>
                </pic:pic>
              </a:graphicData>
            </a:graphic>
          </wp:inline>
        </w:drawing>
      </w:r>
    </w:p>
    <w:p w14:paraId="04EB6C42" w14:textId="77777777" w:rsidR="00D23FFB" w:rsidRDefault="00D23FFB" w:rsidP="001D3022">
      <w:pPr>
        <w:rPr>
          <w:rFonts w:ascii="Times New Roman" w:eastAsia="Times New Roman" w:hAnsi="Times New Roman" w:cs="Times New Roman"/>
          <w:b/>
          <w:bCs/>
          <w:color w:val="000000"/>
          <w:sz w:val="28"/>
          <w:szCs w:val="28"/>
          <w:lang w:eastAsia="es-MX"/>
        </w:rPr>
      </w:pPr>
    </w:p>
    <w:p w14:paraId="0A87CF61" w14:textId="77777777" w:rsidR="00D23FFB" w:rsidRDefault="00D23FFB" w:rsidP="001D3022">
      <w:pPr>
        <w:rPr>
          <w:rFonts w:ascii="Times New Roman" w:eastAsia="Times New Roman" w:hAnsi="Times New Roman" w:cs="Times New Roman"/>
          <w:b/>
          <w:bCs/>
          <w:color w:val="000000"/>
          <w:sz w:val="28"/>
          <w:szCs w:val="28"/>
          <w:lang w:eastAsia="es-MX"/>
        </w:rPr>
      </w:pPr>
    </w:p>
    <w:p w14:paraId="00522A8A" w14:textId="56A4C78A" w:rsidR="001D3022" w:rsidRPr="001D3022" w:rsidRDefault="001D3022" w:rsidP="001D3022">
      <w:pPr>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Investigador</w:t>
      </w:r>
      <w:r w:rsidRPr="001D3022">
        <w:rPr>
          <w:rFonts w:ascii="Times New Roman" w:eastAsia="Times New Roman" w:hAnsi="Times New Roman" w:cs="Times New Roman"/>
          <w:color w:val="000000"/>
          <w:sz w:val="28"/>
          <w:szCs w:val="28"/>
          <w:lang w:eastAsia="es-MX"/>
        </w:rPr>
        <w:t xml:space="preserve"> </w:t>
      </w:r>
      <w:r w:rsidRPr="001D3022">
        <w:rPr>
          <w:rFonts w:ascii="Times New Roman" w:eastAsia="Times New Roman" w:hAnsi="Times New Roman" w:cs="Times New Roman"/>
          <w:b/>
          <w:bCs/>
          <w:color w:val="000000"/>
          <w:sz w:val="28"/>
          <w:szCs w:val="28"/>
          <w:lang w:eastAsia="es-MX"/>
        </w:rPr>
        <w:t>principal: </w:t>
      </w:r>
      <w:r w:rsidR="005559C6">
        <w:rPr>
          <w:rFonts w:ascii="Times New Roman" w:eastAsia="Times New Roman" w:hAnsi="Times New Roman" w:cs="Times New Roman"/>
          <w:b/>
          <w:bCs/>
          <w:color w:val="000000"/>
          <w:sz w:val="28"/>
          <w:szCs w:val="28"/>
          <w:lang w:eastAsia="es-MX"/>
        </w:rPr>
        <w:t>Nancy Cristaldo . Argentina</w:t>
      </w:r>
    </w:p>
    <w:p w14:paraId="6B36991E" w14:textId="77777777" w:rsidR="001D3022" w:rsidRPr="001D3022" w:rsidRDefault="001D3022" w:rsidP="001D3022">
      <w:pPr>
        <w:rPr>
          <w:rFonts w:ascii="Times New Roman" w:eastAsia="Times New Roman" w:hAnsi="Times New Roman" w:cs="Times New Roman"/>
          <w:lang w:eastAsia="es-MX"/>
        </w:rPr>
      </w:pPr>
    </w:p>
    <w:p w14:paraId="289CFB74" w14:textId="61974D00" w:rsidR="001D3022" w:rsidRPr="001D3022" w:rsidRDefault="001D3022" w:rsidP="001D3022">
      <w:pPr>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Investigadores asociados: </w:t>
      </w:r>
      <w:r w:rsidR="005559C6">
        <w:rPr>
          <w:rFonts w:ascii="Times New Roman" w:eastAsia="Times New Roman" w:hAnsi="Times New Roman" w:cs="Times New Roman"/>
          <w:b/>
          <w:bCs/>
          <w:color w:val="000000"/>
          <w:sz w:val="28"/>
          <w:szCs w:val="28"/>
          <w:lang w:eastAsia="es-MX"/>
        </w:rPr>
        <w:t xml:space="preserve">Dra Maria Alejandra Torres Viera. Venezuela  </w:t>
      </w:r>
    </w:p>
    <w:p w14:paraId="2967540E" w14:textId="77777777" w:rsidR="001D3022" w:rsidRPr="001D3022" w:rsidRDefault="001D3022" w:rsidP="001D3022">
      <w:pPr>
        <w:rPr>
          <w:rFonts w:ascii="Times New Roman" w:eastAsia="Times New Roman" w:hAnsi="Times New Roman" w:cs="Times New Roman"/>
          <w:lang w:eastAsia="es-MX"/>
        </w:rPr>
      </w:pPr>
    </w:p>
    <w:p w14:paraId="7C10586D" w14:textId="77777777" w:rsidR="001D3022" w:rsidRPr="001D3022" w:rsidRDefault="001D3022" w:rsidP="001D3022">
      <w:pPr>
        <w:rPr>
          <w:rFonts w:ascii="Times New Roman" w:eastAsia="Times New Roman" w:hAnsi="Times New Roman" w:cs="Times New Roman"/>
          <w:lang w:eastAsia="es-MX"/>
        </w:rPr>
      </w:pPr>
      <w:r w:rsidRPr="001D3022">
        <w:rPr>
          <w:rFonts w:ascii="Times New Roman" w:eastAsia="Times New Roman" w:hAnsi="Times New Roman" w:cs="Times New Roman"/>
          <w:color w:val="000000"/>
          <w:sz w:val="28"/>
          <w:szCs w:val="28"/>
          <w:lang w:eastAsia="es-MX"/>
        </w:rPr>
        <w:t>Investigadores principales representantes de cada país del GELL</w:t>
      </w:r>
    </w:p>
    <w:p w14:paraId="4BCE395F" w14:textId="64420B7E" w:rsidR="001D3022" w:rsidRPr="001D3022" w:rsidRDefault="001D3022" w:rsidP="001D3022">
      <w:pPr>
        <w:spacing w:after="240"/>
        <w:rPr>
          <w:rFonts w:ascii="Times New Roman" w:eastAsia="Times New Roman" w:hAnsi="Times New Roman" w:cs="Times New Roman"/>
          <w:lang w:eastAsia="es-MX"/>
        </w:rPr>
      </w:pPr>
      <w:r w:rsidRPr="001D3022">
        <w:rPr>
          <w:rFonts w:ascii="Times New Roman" w:eastAsia="Times New Roman" w:hAnsi="Times New Roman" w:cs="Times New Roman"/>
          <w:lang w:eastAsia="es-MX"/>
        </w:rPr>
        <w:br/>
      </w:r>
    </w:p>
    <w:p w14:paraId="417BC116" w14:textId="77777777" w:rsidR="001D3022" w:rsidRPr="001D3022" w:rsidRDefault="001D3022" w:rsidP="001D3022">
      <w:pPr>
        <w:spacing w:before="120"/>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3. INTRODUCCIÓN: </w:t>
      </w:r>
    </w:p>
    <w:p w14:paraId="43AB3F16" w14:textId="77777777" w:rsidR="001D3022" w:rsidRPr="001D3022" w:rsidRDefault="001D3022" w:rsidP="001D3022">
      <w:pPr>
        <w:spacing w:before="120"/>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365F91"/>
          <w:sz w:val="28"/>
          <w:szCs w:val="28"/>
          <w:lang w:eastAsia="es-MX"/>
        </w:rPr>
        <w:tab/>
      </w:r>
      <w:r w:rsidRPr="001D3022">
        <w:rPr>
          <w:rFonts w:ascii="Times New Roman" w:eastAsia="Times New Roman" w:hAnsi="Times New Roman" w:cs="Times New Roman"/>
          <w:color w:val="000000"/>
          <w:sz w:val="28"/>
          <w:szCs w:val="28"/>
          <w:lang w:eastAsia="es-MX"/>
        </w:rPr>
        <w:t xml:space="preserve">El Linfoma de células del Manto (LCM) es un subtipo poco común de Linfoma no Hodgkin (LNH), tiene generalmente un curso agresivo. Esta patología fue nombrada de esta manera por primera vez en 1992 </w:t>
      </w:r>
      <w:r w:rsidRPr="001D3022">
        <w:rPr>
          <w:rFonts w:ascii="Times New Roman" w:eastAsia="Times New Roman" w:hAnsi="Times New Roman" w:cs="Times New Roman"/>
          <w:color w:val="000000"/>
          <w:sz w:val="17"/>
          <w:szCs w:val="17"/>
          <w:vertAlign w:val="superscript"/>
          <w:lang w:eastAsia="es-MX"/>
        </w:rPr>
        <w:t>1</w:t>
      </w:r>
      <w:r w:rsidRPr="001D3022">
        <w:rPr>
          <w:rFonts w:ascii="Times New Roman" w:eastAsia="Times New Roman" w:hAnsi="Times New Roman" w:cs="Times New Roman"/>
          <w:color w:val="000000"/>
          <w:sz w:val="28"/>
          <w:szCs w:val="28"/>
          <w:lang w:eastAsia="es-MX"/>
        </w:rPr>
        <w:t xml:space="preserve">.  Su prevalencia se encuentra entre 2-10% de los LNH </w:t>
      </w:r>
      <w:r w:rsidRPr="001D3022">
        <w:rPr>
          <w:rFonts w:ascii="Times New Roman" w:eastAsia="Times New Roman" w:hAnsi="Times New Roman" w:cs="Times New Roman"/>
          <w:color w:val="000000"/>
          <w:sz w:val="17"/>
          <w:szCs w:val="17"/>
          <w:vertAlign w:val="superscript"/>
          <w:lang w:eastAsia="es-MX"/>
        </w:rPr>
        <w:t>2,3</w:t>
      </w:r>
      <w:r w:rsidRPr="001D3022">
        <w:rPr>
          <w:rFonts w:ascii="Times New Roman" w:eastAsia="Times New Roman" w:hAnsi="Times New Roman" w:cs="Times New Roman"/>
          <w:color w:val="000000"/>
          <w:sz w:val="28"/>
          <w:szCs w:val="28"/>
          <w:lang w:eastAsia="es-MX"/>
        </w:rPr>
        <w:t xml:space="preserve">  con una tasa de incidencia de 0.51 a 0.55 por 100.000 hab </w:t>
      </w:r>
      <w:r w:rsidRPr="001D3022">
        <w:rPr>
          <w:rFonts w:ascii="Times New Roman" w:eastAsia="Times New Roman" w:hAnsi="Times New Roman" w:cs="Times New Roman"/>
          <w:color w:val="000000"/>
          <w:sz w:val="17"/>
          <w:szCs w:val="17"/>
          <w:vertAlign w:val="superscript"/>
          <w:lang w:eastAsia="es-MX"/>
        </w:rPr>
        <w:t>4,5</w:t>
      </w:r>
      <w:r w:rsidRPr="001D3022">
        <w:rPr>
          <w:rFonts w:ascii="Times New Roman" w:eastAsia="Times New Roman" w:hAnsi="Times New Roman" w:cs="Times New Roman"/>
          <w:color w:val="000000"/>
          <w:sz w:val="28"/>
          <w:szCs w:val="28"/>
          <w:lang w:eastAsia="es-MX"/>
        </w:rPr>
        <w:t xml:space="preserve">. En USA el registro del Cáncer muestra que hubo aumento de la incidencia desde 1992-1994 a 2005-2009, aún más significativo en personas ancianas de raza blanca </w:t>
      </w:r>
      <w:r w:rsidRPr="001D3022">
        <w:rPr>
          <w:rFonts w:ascii="Times New Roman" w:eastAsia="Times New Roman" w:hAnsi="Times New Roman" w:cs="Times New Roman"/>
          <w:color w:val="000000"/>
          <w:sz w:val="17"/>
          <w:szCs w:val="17"/>
          <w:vertAlign w:val="superscript"/>
          <w:lang w:eastAsia="es-MX"/>
        </w:rPr>
        <w:t>6,7</w:t>
      </w:r>
      <w:r w:rsidRPr="001D3022">
        <w:rPr>
          <w:rFonts w:ascii="Times New Roman" w:eastAsia="Times New Roman" w:hAnsi="Times New Roman" w:cs="Times New Roman"/>
          <w:color w:val="000000"/>
          <w:sz w:val="28"/>
          <w:szCs w:val="28"/>
          <w:lang w:eastAsia="es-MX"/>
        </w:rPr>
        <w:t>. En un estudio observacional en Latinoamérica representó el 5% de los LNH</w:t>
      </w:r>
      <w:r w:rsidRPr="001D3022">
        <w:rPr>
          <w:rFonts w:ascii="Times New Roman" w:eastAsia="Times New Roman" w:hAnsi="Times New Roman" w:cs="Times New Roman"/>
          <w:color w:val="000000"/>
          <w:sz w:val="17"/>
          <w:szCs w:val="17"/>
          <w:vertAlign w:val="superscript"/>
          <w:lang w:eastAsia="es-MX"/>
        </w:rPr>
        <w:t xml:space="preserve"> 8</w:t>
      </w:r>
      <w:r w:rsidRPr="001D3022">
        <w:rPr>
          <w:rFonts w:ascii="Times New Roman" w:eastAsia="Times New Roman" w:hAnsi="Times New Roman" w:cs="Times New Roman"/>
          <w:color w:val="000000"/>
          <w:sz w:val="28"/>
          <w:szCs w:val="28"/>
          <w:lang w:eastAsia="es-MX"/>
        </w:rPr>
        <w:t xml:space="preserve"> y 7,3% en otro reporte más reciente </w:t>
      </w:r>
      <w:r w:rsidRPr="001D3022">
        <w:rPr>
          <w:rFonts w:ascii="Times New Roman" w:eastAsia="Times New Roman" w:hAnsi="Times New Roman" w:cs="Times New Roman"/>
          <w:color w:val="000000"/>
          <w:sz w:val="17"/>
          <w:szCs w:val="17"/>
          <w:vertAlign w:val="superscript"/>
          <w:lang w:eastAsia="es-MX"/>
        </w:rPr>
        <w:t>9</w:t>
      </w:r>
      <w:r w:rsidRPr="001D3022">
        <w:rPr>
          <w:rFonts w:ascii="Times New Roman" w:eastAsia="Times New Roman" w:hAnsi="Times New Roman" w:cs="Times New Roman"/>
          <w:color w:val="000000"/>
          <w:sz w:val="28"/>
          <w:szCs w:val="28"/>
          <w:lang w:eastAsia="es-MX"/>
        </w:rPr>
        <w:t>. </w:t>
      </w:r>
    </w:p>
    <w:p w14:paraId="1B9FFD85" w14:textId="77777777" w:rsidR="001D3022" w:rsidRPr="001D3022" w:rsidRDefault="001D3022" w:rsidP="001D3022">
      <w:pPr>
        <w:spacing w:before="120"/>
        <w:jc w:val="both"/>
        <w:rPr>
          <w:rFonts w:ascii="Times New Roman" w:eastAsia="Times New Roman" w:hAnsi="Times New Roman" w:cs="Times New Roman"/>
          <w:lang w:eastAsia="es-MX"/>
        </w:rPr>
      </w:pPr>
      <w:r w:rsidRPr="001D3022">
        <w:rPr>
          <w:rFonts w:ascii="Times New Roman" w:eastAsia="Times New Roman" w:hAnsi="Times New Roman" w:cs="Times New Roman"/>
          <w:color w:val="000000"/>
          <w:sz w:val="28"/>
          <w:szCs w:val="28"/>
          <w:lang w:eastAsia="es-MX"/>
        </w:rPr>
        <w:tab/>
        <w:t>Se origina en linfocitos b del área del manto de los folículos linfoides, cuyo patrón de crecimiento puede adoptar tres tipos de crecimientos: área del manto, nodular o difuso</w:t>
      </w:r>
      <w:r w:rsidRPr="001D3022">
        <w:rPr>
          <w:rFonts w:ascii="Times New Roman" w:eastAsia="Times New Roman" w:hAnsi="Times New Roman" w:cs="Times New Roman"/>
          <w:color w:val="000000"/>
          <w:sz w:val="17"/>
          <w:szCs w:val="17"/>
          <w:vertAlign w:val="superscript"/>
          <w:lang w:eastAsia="es-MX"/>
        </w:rPr>
        <w:t>10</w:t>
      </w:r>
      <w:r w:rsidRPr="001D3022">
        <w:rPr>
          <w:rFonts w:ascii="Times New Roman" w:eastAsia="Times New Roman" w:hAnsi="Times New Roman" w:cs="Times New Roman"/>
          <w:color w:val="000000"/>
          <w:sz w:val="28"/>
          <w:szCs w:val="28"/>
          <w:lang w:eastAsia="es-MX"/>
        </w:rPr>
        <w:t>. Según la citología y que comprometa o no áreas ganglionares, se describen variantes: como la clásica con linfocitos de tamaño intermedio con núcleos densos irregulares y citoplasma pálido</w:t>
      </w:r>
      <w:r w:rsidRPr="001D3022">
        <w:rPr>
          <w:rFonts w:ascii="Times New Roman" w:eastAsia="Times New Roman" w:hAnsi="Times New Roman" w:cs="Times New Roman"/>
          <w:color w:val="000000"/>
          <w:sz w:val="17"/>
          <w:szCs w:val="17"/>
          <w:vertAlign w:val="superscript"/>
          <w:lang w:eastAsia="es-MX"/>
        </w:rPr>
        <w:t xml:space="preserve"> 11</w:t>
      </w:r>
      <w:r w:rsidRPr="001D3022">
        <w:rPr>
          <w:rFonts w:ascii="Times New Roman" w:eastAsia="Times New Roman" w:hAnsi="Times New Roman" w:cs="Times New Roman"/>
          <w:color w:val="000000"/>
          <w:sz w:val="28"/>
          <w:szCs w:val="28"/>
          <w:lang w:eastAsia="es-MX"/>
        </w:rPr>
        <w:t>,  la blastoide con linfocitos similares a linfoblastos (20%), pleomórfica similar a linfoma difuso de células grandes b, ambos agresivos,</w:t>
      </w:r>
      <w:r w:rsidRPr="001D3022">
        <w:rPr>
          <w:rFonts w:ascii="Times New Roman" w:eastAsia="Times New Roman" w:hAnsi="Times New Roman" w:cs="Times New Roman"/>
          <w:color w:val="000000"/>
          <w:sz w:val="17"/>
          <w:szCs w:val="17"/>
          <w:vertAlign w:val="superscript"/>
          <w:lang w:eastAsia="es-MX"/>
        </w:rPr>
        <w:t>12,13,14</w:t>
      </w:r>
      <w:r w:rsidRPr="001D3022">
        <w:rPr>
          <w:rFonts w:ascii="Times New Roman" w:eastAsia="Times New Roman" w:hAnsi="Times New Roman" w:cs="Times New Roman"/>
          <w:color w:val="000000"/>
          <w:sz w:val="28"/>
          <w:szCs w:val="28"/>
          <w:lang w:eastAsia="es-MX"/>
        </w:rPr>
        <w:t xml:space="preserve"> el leucémico o de células pequeñas similar al linfoma linfocítico de curso habitualmente más indolente</w:t>
      </w:r>
      <w:r w:rsidRPr="001D3022">
        <w:rPr>
          <w:rFonts w:ascii="Times New Roman" w:eastAsia="Times New Roman" w:hAnsi="Times New Roman" w:cs="Times New Roman"/>
          <w:color w:val="000000"/>
          <w:sz w:val="17"/>
          <w:szCs w:val="17"/>
          <w:vertAlign w:val="superscript"/>
          <w:lang w:eastAsia="es-MX"/>
        </w:rPr>
        <w:t>15</w:t>
      </w:r>
      <w:r w:rsidRPr="001D3022">
        <w:rPr>
          <w:rFonts w:ascii="Times New Roman" w:eastAsia="Times New Roman" w:hAnsi="Times New Roman" w:cs="Times New Roman"/>
          <w:color w:val="000000"/>
          <w:sz w:val="28"/>
          <w:szCs w:val="28"/>
          <w:lang w:eastAsia="es-MX"/>
        </w:rPr>
        <w:t xml:space="preserve"> y más recientemente la Neoplasia de células del manto in situ que suele ser un hallazgo incidental </w:t>
      </w:r>
      <w:r w:rsidRPr="001D3022">
        <w:rPr>
          <w:rFonts w:ascii="Times New Roman" w:eastAsia="Times New Roman" w:hAnsi="Times New Roman" w:cs="Times New Roman"/>
          <w:color w:val="000000"/>
          <w:sz w:val="17"/>
          <w:szCs w:val="17"/>
          <w:vertAlign w:val="superscript"/>
          <w:lang w:eastAsia="es-MX"/>
        </w:rPr>
        <w:t>16,17</w:t>
      </w:r>
      <w:r w:rsidRPr="001D3022">
        <w:rPr>
          <w:rFonts w:ascii="Times New Roman" w:eastAsia="Times New Roman" w:hAnsi="Times New Roman" w:cs="Times New Roman"/>
          <w:color w:val="000000"/>
          <w:sz w:val="28"/>
          <w:szCs w:val="28"/>
          <w:lang w:eastAsia="es-MX"/>
        </w:rPr>
        <w:t>.</w:t>
      </w:r>
    </w:p>
    <w:p w14:paraId="63CD9894" w14:textId="77777777" w:rsidR="001D3022" w:rsidRPr="001D3022" w:rsidRDefault="001D3022" w:rsidP="001D3022">
      <w:pPr>
        <w:spacing w:before="120"/>
        <w:ind w:firstLine="720"/>
        <w:jc w:val="both"/>
        <w:rPr>
          <w:rFonts w:ascii="Times New Roman" w:eastAsia="Times New Roman" w:hAnsi="Times New Roman" w:cs="Times New Roman"/>
          <w:lang w:eastAsia="es-MX"/>
        </w:rPr>
      </w:pPr>
      <w:r w:rsidRPr="001D3022">
        <w:rPr>
          <w:rFonts w:ascii="Times New Roman" w:eastAsia="Times New Roman" w:hAnsi="Times New Roman" w:cs="Times New Roman"/>
          <w:color w:val="000000"/>
          <w:sz w:val="28"/>
          <w:szCs w:val="28"/>
          <w:lang w:eastAsia="es-MX"/>
        </w:rPr>
        <w:t>La marcación inmunohistoquímica se caracteriza por ser CD20+, CD5+, CD43, BCL2+, y negativos para CD23, CD10</w:t>
      </w:r>
      <w:r w:rsidRPr="001D3022">
        <w:rPr>
          <w:rFonts w:ascii="Times New Roman" w:eastAsia="Times New Roman" w:hAnsi="Times New Roman" w:cs="Times New Roman"/>
          <w:color w:val="000000"/>
          <w:sz w:val="17"/>
          <w:szCs w:val="17"/>
          <w:vertAlign w:val="superscript"/>
          <w:lang w:eastAsia="es-MX"/>
        </w:rPr>
        <w:t>18</w:t>
      </w:r>
      <w:r w:rsidRPr="001D3022">
        <w:rPr>
          <w:rFonts w:ascii="Times New Roman" w:eastAsia="Times New Roman" w:hAnsi="Times New Roman" w:cs="Times New Roman"/>
          <w:color w:val="000000"/>
          <w:sz w:val="28"/>
          <w:szCs w:val="28"/>
          <w:lang w:eastAsia="es-MX"/>
        </w:rPr>
        <w:t>, BCL6 y MUM1.  Las células del LCM expresan en  más del 95% CCD1 (ciclina-1) y más del 90% SOX-11</w:t>
      </w:r>
      <w:r w:rsidRPr="001D3022">
        <w:rPr>
          <w:rFonts w:ascii="Times New Roman" w:eastAsia="Times New Roman" w:hAnsi="Times New Roman" w:cs="Times New Roman"/>
          <w:color w:val="000000"/>
          <w:sz w:val="17"/>
          <w:szCs w:val="17"/>
          <w:vertAlign w:val="superscript"/>
          <w:lang w:eastAsia="es-MX"/>
        </w:rPr>
        <w:t>19,20</w:t>
      </w:r>
      <w:r w:rsidRPr="001D3022">
        <w:rPr>
          <w:rFonts w:ascii="Times New Roman" w:eastAsia="Times New Roman" w:hAnsi="Times New Roman" w:cs="Times New Roman"/>
          <w:color w:val="000000"/>
          <w:sz w:val="28"/>
          <w:szCs w:val="28"/>
          <w:lang w:eastAsia="es-MX"/>
        </w:rPr>
        <w:t>. El índice de proliferación MIB-1 Ki67 mayor a 30% se asocia a peor pronóstico</w:t>
      </w:r>
      <w:r w:rsidRPr="001D3022">
        <w:rPr>
          <w:rFonts w:ascii="Times New Roman" w:eastAsia="Times New Roman" w:hAnsi="Times New Roman" w:cs="Times New Roman"/>
          <w:color w:val="000000"/>
          <w:sz w:val="17"/>
          <w:szCs w:val="17"/>
          <w:vertAlign w:val="superscript"/>
          <w:lang w:eastAsia="es-MX"/>
        </w:rPr>
        <w:t>21</w:t>
      </w:r>
      <w:r w:rsidRPr="001D3022">
        <w:rPr>
          <w:rFonts w:ascii="Times New Roman" w:eastAsia="Times New Roman" w:hAnsi="Times New Roman" w:cs="Times New Roman"/>
          <w:color w:val="000000"/>
          <w:sz w:val="28"/>
          <w:szCs w:val="28"/>
          <w:lang w:eastAsia="es-MX"/>
        </w:rPr>
        <w:t>. En el 95% de los casos el rearreglo IGH/CCND1 es detectable, y es considerado el evento genético primario de la patología</w:t>
      </w:r>
      <w:r w:rsidRPr="001D3022">
        <w:rPr>
          <w:rFonts w:ascii="Times New Roman" w:eastAsia="Times New Roman" w:hAnsi="Times New Roman" w:cs="Times New Roman"/>
          <w:color w:val="000000"/>
          <w:sz w:val="17"/>
          <w:szCs w:val="17"/>
          <w:vertAlign w:val="superscript"/>
          <w:lang w:eastAsia="es-MX"/>
        </w:rPr>
        <w:t>1</w:t>
      </w:r>
      <w:r w:rsidRPr="001D3022">
        <w:rPr>
          <w:rFonts w:ascii="Times New Roman" w:eastAsia="Times New Roman" w:hAnsi="Times New Roman" w:cs="Times New Roman"/>
          <w:color w:val="000000"/>
          <w:sz w:val="28"/>
          <w:szCs w:val="28"/>
          <w:lang w:eastAsia="es-MX"/>
        </w:rPr>
        <w:t xml:space="preserve">. En el estudio citogenético se puede observar la translocación t(11,14)(q13;q32) en el 75% de los casos </w:t>
      </w:r>
      <w:r w:rsidRPr="001D3022">
        <w:rPr>
          <w:rFonts w:ascii="Times New Roman" w:eastAsia="Times New Roman" w:hAnsi="Times New Roman" w:cs="Times New Roman"/>
          <w:color w:val="000000"/>
          <w:sz w:val="17"/>
          <w:szCs w:val="17"/>
          <w:vertAlign w:val="superscript"/>
          <w:lang w:eastAsia="es-MX"/>
        </w:rPr>
        <w:t>22,23</w:t>
      </w:r>
      <w:r w:rsidRPr="001D3022">
        <w:rPr>
          <w:rFonts w:ascii="Times New Roman" w:eastAsia="Times New Roman" w:hAnsi="Times New Roman" w:cs="Times New Roman"/>
          <w:color w:val="000000"/>
          <w:sz w:val="28"/>
          <w:szCs w:val="28"/>
          <w:lang w:eastAsia="es-MX"/>
        </w:rPr>
        <w:t>. Las mutaciones de TP53, detectadas por secuenciación, se asocian a mal pronóstico</w:t>
      </w:r>
      <w:r w:rsidRPr="001D3022">
        <w:rPr>
          <w:rFonts w:ascii="Times New Roman" w:eastAsia="Times New Roman" w:hAnsi="Times New Roman" w:cs="Times New Roman"/>
          <w:color w:val="000000"/>
          <w:sz w:val="17"/>
          <w:szCs w:val="17"/>
          <w:vertAlign w:val="superscript"/>
          <w:lang w:eastAsia="es-MX"/>
        </w:rPr>
        <w:t>24,25,26</w:t>
      </w:r>
      <w:r w:rsidRPr="001D3022">
        <w:rPr>
          <w:rFonts w:ascii="Times New Roman" w:eastAsia="Times New Roman" w:hAnsi="Times New Roman" w:cs="Times New Roman"/>
          <w:color w:val="000000"/>
          <w:sz w:val="28"/>
          <w:szCs w:val="28"/>
          <w:lang w:eastAsia="es-MX"/>
        </w:rPr>
        <w:t>. El estado mutacional de la IGVH cobra relevancia en la variante indolente cuando está mutada</w:t>
      </w:r>
      <w:r w:rsidRPr="001D3022">
        <w:rPr>
          <w:rFonts w:ascii="Times New Roman" w:eastAsia="Times New Roman" w:hAnsi="Times New Roman" w:cs="Times New Roman"/>
          <w:color w:val="000000"/>
          <w:sz w:val="17"/>
          <w:szCs w:val="17"/>
          <w:vertAlign w:val="superscript"/>
          <w:lang w:eastAsia="es-MX"/>
        </w:rPr>
        <w:t>27</w:t>
      </w:r>
      <w:r w:rsidRPr="001D3022">
        <w:rPr>
          <w:rFonts w:ascii="Times New Roman" w:eastAsia="Times New Roman" w:hAnsi="Times New Roman" w:cs="Times New Roman"/>
          <w:color w:val="000000"/>
          <w:sz w:val="28"/>
          <w:szCs w:val="28"/>
          <w:lang w:eastAsia="es-MX"/>
        </w:rPr>
        <w:t>. </w:t>
      </w:r>
    </w:p>
    <w:p w14:paraId="6163479F" w14:textId="77777777" w:rsidR="001D3022" w:rsidRPr="001D3022" w:rsidRDefault="001D3022" w:rsidP="001D3022">
      <w:pPr>
        <w:spacing w:before="120"/>
        <w:jc w:val="both"/>
        <w:rPr>
          <w:rFonts w:ascii="Times New Roman" w:eastAsia="Times New Roman" w:hAnsi="Times New Roman" w:cs="Times New Roman"/>
          <w:lang w:eastAsia="es-MX"/>
        </w:rPr>
      </w:pPr>
      <w:r w:rsidRPr="001D3022">
        <w:rPr>
          <w:rFonts w:ascii="Times New Roman" w:eastAsia="Times New Roman" w:hAnsi="Times New Roman" w:cs="Times New Roman"/>
          <w:color w:val="000000"/>
          <w:sz w:val="28"/>
          <w:szCs w:val="28"/>
          <w:lang w:eastAsia="es-MX"/>
        </w:rPr>
        <w:tab/>
        <w:t xml:space="preserve">Actualmente, el tratamiento de primera línea está relacionado a diferentes factores asociados al paciente como edad, performance status y comorbilidades. Así, en pacientes jóvenes elegibles para trasplante el tratamiento consiste en inducción con inmunoquimioterapia seguida de trasplante autólogo de células hematopoyéticas seguido de mantenimiento con rituximab por 3 años </w:t>
      </w:r>
      <w:r w:rsidRPr="001D3022">
        <w:rPr>
          <w:rFonts w:ascii="Times New Roman" w:eastAsia="Times New Roman" w:hAnsi="Times New Roman" w:cs="Times New Roman"/>
          <w:color w:val="000000"/>
          <w:sz w:val="17"/>
          <w:szCs w:val="17"/>
          <w:vertAlign w:val="superscript"/>
          <w:lang w:eastAsia="es-MX"/>
        </w:rPr>
        <w:t>28</w:t>
      </w:r>
      <w:r w:rsidRPr="001D3022">
        <w:rPr>
          <w:rFonts w:ascii="Times New Roman" w:eastAsia="Times New Roman" w:hAnsi="Times New Roman" w:cs="Times New Roman"/>
          <w:color w:val="000000"/>
          <w:sz w:val="28"/>
          <w:szCs w:val="28"/>
          <w:lang w:eastAsia="es-MX"/>
        </w:rPr>
        <w:t>. Para la inducción existen diversos esquemas como RCHOP/RDHAP y R hyperCVAD. Para pacientes no candidatos a quimioterapia intensiva se proponen esquemas como  BR y RCHOP con o sin mantenimiento posterior. En las recaídas han sido propuestas variedad de terapias, con inmuno-poliquimioterapias y más recientemente con  ibrutinib, lenalidomida, bortezomib o venetoclax, solos o en combinaciones, siendo también una opción el trasplante alogénico de células hematopoyéticas. </w:t>
      </w:r>
    </w:p>
    <w:p w14:paraId="38BF8125" w14:textId="77777777" w:rsidR="001D3022" w:rsidRPr="001D3022" w:rsidRDefault="001D3022" w:rsidP="001D3022">
      <w:pPr>
        <w:spacing w:before="120"/>
        <w:jc w:val="both"/>
        <w:rPr>
          <w:rFonts w:ascii="Times New Roman" w:eastAsia="Times New Roman" w:hAnsi="Times New Roman" w:cs="Times New Roman"/>
          <w:lang w:eastAsia="es-MX"/>
        </w:rPr>
      </w:pPr>
      <w:r w:rsidRPr="001D3022">
        <w:rPr>
          <w:rFonts w:ascii="Times New Roman" w:eastAsia="Times New Roman" w:hAnsi="Times New Roman" w:cs="Times New Roman"/>
          <w:color w:val="000000"/>
          <w:sz w:val="28"/>
          <w:szCs w:val="28"/>
          <w:lang w:eastAsia="es-MX"/>
        </w:rPr>
        <w:tab/>
        <w:t>Aunque se han realizado importantes avances en el conocimiento de esta enfermedad, están escasamente descritas sus características en Latinoamérica. El presente trabajo tiene la intención de abordar esta temática dado que se realizará en el marco del Grupo de Estudio Latinoamericano en Linfoproliferativos  GELL. </w:t>
      </w:r>
    </w:p>
    <w:p w14:paraId="25CA2EE0" w14:textId="77777777" w:rsidR="001D3022" w:rsidRPr="001D3022" w:rsidRDefault="001D3022" w:rsidP="001D3022">
      <w:pPr>
        <w:rPr>
          <w:rFonts w:ascii="Times New Roman" w:eastAsia="Times New Roman" w:hAnsi="Times New Roman" w:cs="Times New Roman"/>
          <w:lang w:eastAsia="es-MX"/>
        </w:rPr>
      </w:pPr>
    </w:p>
    <w:p w14:paraId="58751753" w14:textId="77777777" w:rsidR="001D3022" w:rsidRPr="001D3022" w:rsidRDefault="001D3022" w:rsidP="001D3022">
      <w:pPr>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 xml:space="preserve">PALABRAS CLAVES: </w:t>
      </w:r>
      <w:r w:rsidRPr="001D3022">
        <w:rPr>
          <w:rFonts w:ascii="Times New Roman" w:eastAsia="Times New Roman" w:hAnsi="Times New Roman" w:cs="Times New Roman"/>
          <w:color w:val="000000"/>
          <w:sz w:val="28"/>
          <w:szCs w:val="28"/>
          <w:lang w:eastAsia="es-MX"/>
        </w:rPr>
        <w:t>Linfoma de células del manto, Linfoma no hodgkin. </w:t>
      </w:r>
    </w:p>
    <w:p w14:paraId="1F0C9DBA" w14:textId="5D4EEEF7" w:rsidR="001D3022" w:rsidRPr="001D3022" w:rsidRDefault="001D3022" w:rsidP="001D3022">
      <w:pPr>
        <w:spacing w:after="240"/>
        <w:rPr>
          <w:rFonts w:ascii="Times New Roman" w:eastAsia="Times New Roman" w:hAnsi="Times New Roman" w:cs="Times New Roman"/>
          <w:lang w:eastAsia="es-MX"/>
        </w:rPr>
      </w:pPr>
    </w:p>
    <w:p w14:paraId="420BA27D" w14:textId="77777777" w:rsidR="001D3022" w:rsidRPr="001D3022" w:rsidRDefault="001D3022" w:rsidP="001D3022">
      <w:pPr>
        <w:spacing w:after="240"/>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4. OBJETIVOS: </w:t>
      </w:r>
    </w:p>
    <w:p w14:paraId="53657EE9" w14:textId="77777777" w:rsidR="001D3022" w:rsidRPr="001D3022" w:rsidRDefault="001D3022" w:rsidP="001D3022">
      <w:pPr>
        <w:spacing w:after="240"/>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 xml:space="preserve">Objetivo General: </w:t>
      </w:r>
      <w:r w:rsidRPr="001D3022">
        <w:rPr>
          <w:rFonts w:ascii="Times New Roman" w:eastAsia="Times New Roman" w:hAnsi="Times New Roman" w:cs="Times New Roman"/>
          <w:color w:val="000000"/>
          <w:sz w:val="28"/>
          <w:szCs w:val="28"/>
          <w:lang w:eastAsia="es-MX"/>
        </w:rPr>
        <w:t>. </w:t>
      </w:r>
    </w:p>
    <w:p w14:paraId="77C280E4" w14:textId="77777777" w:rsidR="001D3022" w:rsidRPr="001D3022" w:rsidRDefault="001D3022" w:rsidP="001D3022">
      <w:pPr>
        <w:numPr>
          <w:ilvl w:val="0"/>
          <w:numId w:val="1"/>
        </w:numPr>
        <w:spacing w:after="240"/>
        <w:jc w:val="both"/>
        <w:textAlignment w:val="baseline"/>
        <w:rPr>
          <w:rFonts w:ascii="Times New Roman" w:eastAsia="Times New Roman" w:hAnsi="Times New Roman" w:cs="Times New Roman"/>
          <w:color w:val="000000"/>
          <w:sz w:val="28"/>
          <w:szCs w:val="28"/>
          <w:lang w:eastAsia="es-MX"/>
        </w:rPr>
      </w:pPr>
      <w:r w:rsidRPr="001D3022">
        <w:rPr>
          <w:rFonts w:ascii="Times New Roman" w:eastAsia="Times New Roman" w:hAnsi="Times New Roman" w:cs="Times New Roman"/>
          <w:color w:val="000000"/>
          <w:sz w:val="28"/>
          <w:szCs w:val="28"/>
          <w:lang w:eastAsia="es-MX"/>
        </w:rPr>
        <w:t>Describir el diagnóstico, tratamiento y evolución del Linfoma del Manto en Latinoamérica.</w:t>
      </w:r>
    </w:p>
    <w:p w14:paraId="7BD79945" w14:textId="77777777" w:rsidR="001D3022" w:rsidRPr="001D3022" w:rsidRDefault="001D3022" w:rsidP="001D3022">
      <w:pPr>
        <w:spacing w:after="240"/>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Objetivos Específicos: </w:t>
      </w:r>
    </w:p>
    <w:p w14:paraId="191FE262" w14:textId="77777777" w:rsidR="001D3022" w:rsidRPr="001D3022" w:rsidRDefault="001D3022" w:rsidP="001D3022">
      <w:pPr>
        <w:spacing w:after="240"/>
        <w:jc w:val="both"/>
        <w:rPr>
          <w:rFonts w:ascii="Times New Roman" w:eastAsia="Times New Roman" w:hAnsi="Times New Roman" w:cs="Times New Roman"/>
          <w:lang w:eastAsia="es-MX"/>
        </w:rPr>
      </w:pPr>
      <w:r w:rsidRPr="001D3022">
        <w:rPr>
          <w:rFonts w:ascii="Times New Roman" w:eastAsia="Times New Roman" w:hAnsi="Times New Roman" w:cs="Times New Roman"/>
          <w:color w:val="000000"/>
          <w:sz w:val="28"/>
          <w:szCs w:val="28"/>
          <w:lang w:eastAsia="es-MX"/>
        </w:rPr>
        <w:t>Primario. </w:t>
      </w:r>
    </w:p>
    <w:p w14:paraId="773C75E2" w14:textId="35107CA0" w:rsidR="001D3022" w:rsidRPr="00B262AB" w:rsidRDefault="001D3022" w:rsidP="001D3022">
      <w:pPr>
        <w:numPr>
          <w:ilvl w:val="0"/>
          <w:numId w:val="2"/>
        </w:numPr>
        <w:jc w:val="both"/>
        <w:textAlignment w:val="baseline"/>
        <w:rPr>
          <w:rFonts w:ascii="Times New Roman" w:eastAsia="Times New Roman" w:hAnsi="Times New Roman" w:cs="Times New Roman"/>
          <w:b/>
          <w:bCs/>
          <w:color w:val="000000"/>
          <w:sz w:val="28"/>
          <w:szCs w:val="28"/>
          <w:lang w:eastAsia="es-MX"/>
        </w:rPr>
      </w:pPr>
      <w:r w:rsidRPr="001D3022">
        <w:rPr>
          <w:rFonts w:ascii="Times New Roman" w:eastAsia="Times New Roman" w:hAnsi="Times New Roman" w:cs="Times New Roman"/>
          <w:color w:val="000000"/>
          <w:sz w:val="28"/>
          <w:szCs w:val="28"/>
          <w:lang w:eastAsia="es-MX"/>
        </w:rPr>
        <w:t xml:space="preserve">Describir el tipo de tratamiento recibido por los pacientes con linfoma del </w:t>
      </w:r>
      <w:r w:rsidR="0008459C">
        <w:rPr>
          <w:rFonts w:ascii="Times New Roman" w:eastAsia="Times New Roman" w:hAnsi="Times New Roman" w:cs="Times New Roman"/>
          <w:color w:val="000000"/>
          <w:sz w:val="28"/>
          <w:szCs w:val="28"/>
          <w:lang w:eastAsia="es-MX"/>
        </w:rPr>
        <w:t>M</w:t>
      </w:r>
      <w:r w:rsidRPr="001D3022">
        <w:rPr>
          <w:rFonts w:ascii="Times New Roman" w:eastAsia="Times New Roman" w:hAnsi="Times New Roman" w:cs="Times New Roman"/>
          <w:color w:val="000000"/>
          <w:sz w:val="28"/>
          <w:szCs w:val="28"/>
          <w:lang w:eastAsia="es-MX"/>
        </w:rPr>
        <w:t>anto en latinoamérica  en el mundo real.</w:t>
      </w:r>
      <w:r w:rsidR="00B262AB">
        <w:rPr>
          <w:rFonts w:ascii="Times New Roman" w:eastAsia="Times New Roman" w:hAnsi="Times New Roman" w:cs="Times New Roman"/>
          <w:color w:val="000000"/>
          <w:sz w:val="28"/>
          <w:szCs w:val="28"/>
          <w:lang w:eastAsia="es-MX"/>
        </w:rPr>
        <w:t xml:space="preserve"> Tipo de induccion.</w:t>
      </w:r>
    </w:p>
    <w:p w14:paraId="5E033081" w14:textId="7B90DEA6" w:rsidR="00B262AB" w:rsidRPr="00B262AB" w:rsidRDefault="00B262AB" w:rsidP="00B262AB">
      <w:pPr>
        <w:numPr>
          <w:ilvl w:val="1"/>
          <w:numId w:val="2"/>
        </w:numPr>
        <w:jc w:val="both"/>
        <w:textAlignment w:val="baseline"/>
        <w:rPr>
          <w:rFonts w:ascii="Times New Roman" w:eastAsia="Times New Roman" w:hAnsi="Times New Roman" w:cs="Times New Roman"/>
          <w:b/>
          <w:bCs/>
          <w:color w:val="000000"/>
          <w:sz w:val="28"/>
          <w:szCs w:val="28"/>
          <w:lang w:eastAsia="es-MX"/>
        </w:rPr>
      </w:pPr>
      <w:r>
        <w:rPr>
          <w:rFonts w:ascii="Times New Roman" w:eastAsia="Times New Roman" w:hAnsi="Times New Roman" w:cs="Times New Roman"/>
          <w:color w:val="000000"/>
          <w:sz w:val="28"/>
          <w:szCs w:val="28"/>
          <w:lang w:eastAsia="es-MX"/>
        </w:rPr>
        <w:t xml:space="preserve">Pacientes FIT vs No suceptibes trasplante , que esquemas </w:t>
      </w:r>
    </w:p>
    <w:p w14:paraId="020B0EB8" w14:textId="1FAE5168" w:rsidR="00B262AB" w:rsidRPr="00B262AB" w:rsidRDefault="00B262AB" w:rsidP="00B262AB">
      <w:pPr>
        <w:numPr>
          <w:ilvl w:val="1"/>
          <w:numId w:val="2"/>
        </w:numPr>
        <w:jc w:val="both"/>
        <w:textAlignment w:val="baseline"/>
        <w:rPr>
          <w:rFonts w:ascii="Times New Roman" w:eastAsia="Times New Roman" w:hAnsi="Times New Roman" w:cs="Times New Roman"/>
          <w:b/>
          <w:bCs/>
          <w:color w:val="000000"/>
          <w:sz w:val="28"/>
          <w:szCs w:val="28"/>
          <w:lang w:eastAsia="es-MX"/>
        </w:rPr>
      </w:pPr>
      <w:r>
        <w:rPr>
          <w:rFonts w:ascii="Times New Roman" w:eastAsia="Times New Roman" w:hAnsi="Times New Roman" w:cs="Times New Roman"/>
          <w:color w:val="000000"/>
          <w:sz w:val="28"/>
          <w:szCs w:val="28"/>
          <w:lang w:eastAsia="es-MX"/>
        </w:rPr>
        <w:t>Posibilidades de mantenmiento en ambos grupos</w:t>
      </w:r>
    </w:p>
    <w:p w14:paraId="28340FC5" w14:textId="38EA2C5C" w:rsidR="00B262AB" w:rsidRPr="001D3022" w:rsidRDefault="00B262AB" w:rsidP="00B262AB">
      <w:pPr>
        <w:numPr>
          <w:ilvl w:val="1"/>
          <w:numId w:val="2"/>
        </w:numPr>
        <w:jc w:val="both"/>
        <w:textAlignment w:val="baseline"/>
        <w:rPr>
          <w:rFonts w:ascii="Times New Roman" w:eastAsia="Times New Roman" w:hAnsi="Times New Roman" w:cs="Times New Roman"/>
          <w:b/>
          <w:bCs/>
          <w:color w:val="000000"/>
          <w:sz w:val="28"/>
          <w:szCs w:val="28"/>
          <w:lang w:eastAsia="es-MX"/>
        </w:rPr>
      </w:pPr>
      <w:r>
        <w:rPr>
          <w:rFonts w:ascii="Times New Roman" w:eastAsia="Times New Roman" w:hAnsi="Times New Roman" w:cs="Times New Roman"/>
          <w:color w:val="000000"/>
          <w:sz w:val="28"/>
          <w:szCs w:val="28"/>
          <w:lang w:eastAsia="es-MX"/>
        </w:rPr>
        <w:t>Porcentaje real de pacientes fit efectivamente consolidaddos con trasplante</w:t>
      </w:r>
    </w:p>
    <w:p w14:paraId="72CB0B13" w14:textId="77777777" w:rsidR="00B262AB" w:rsidRPr="00B262AB" w:rsidRDefault="001D3022" w:rsidP="001D3022">
      <w:pPr>
        <w:numPr>
          <w:ilvl w:val="0"/>
          <w:numId w:val="2"/>
        </w:numPr>
        <w:spacing w:after="240"/>
        <w:jc w:val="both"/>
        <w:textAlignment w:val="baseline"/>
        <w:rPr>
          <w:rFonts w:ascii="Times New Roman" w:eastAsia="Times New Roman" w:hAnsi="Times New Roman" w:cs="Times New Roman"/>
          <w:b/>
          <w:bCs/>
          <w:color w:val="000000"/>
          <w:sz w:val="28"/>
          <w:szCs w:val="28"/>
          <w:lang w:eastAsia="es-MX"/>
        </w:rPr>
      </w:pPr>
      <w:r w:rsidRPr="001D3022">
        <w:rPr>
          <w:rFonts w:ascii="Times New Roman" w:eastAsia="Times New Roman" w:hAnsi="Times New Roman" w:cs="Times New Roman"/>
          <w:color w:val="000000"/>
          <w:sz w:val="28"/>
          <w:szCs w:val="28"/>
          <w:lang w:eastAsia="es-MX"/>
        </w:rPr>
        <w:t>Describir los estudios diagnósticos realizados en estos pacientes.</w:t>
      </w:r>
      <w:r w:rsidR="00B262AB">
        <w:rPr>
          <w:rFonts w:ascii="Times New Roman" w:eastAsia="Times New Roman" w:hAnsi="Times New Roman" w:cs="Times New Roman"/>
          <w:color w:val="000000"/>
          <w:sz w:val="28"/>
          <w:szCs w:val="28"/>
          <w:lang w:eastAsia="es-MX"/>
        </w:rPr>
        <w:t xml:space="preserve"> Sub clsificacion histoloica en el mundo real latinoamericano.</w:t>
      </w:r>
    </w:p>
    <w:p w14:paraId="6583465A" w14:textId="00164E6B" w:rsidR="001D3022" w:rsidRPr="00B262AB" w:rsidRDefault="00B262AB" w:rsidP="00B262AB">
      <w:pPr>
        <w:numPr>
          <w:ilvl w:val="1"/>
          <w:numId w:val="2"/>
        </w:numPr>
        <w:spacing w:after="240"/>
        <w:jc w:val="both"/>
        <w:textAlignment w:val="baseline"/>
        <w:rPr>
          <w:rFonts w:ascii="Times New Roman" w:eastAsia="Times New Roman" w:hAnsi="Times New Roman" w:cs="Times New Roman"/>
          <w:b/>
          <w:bCs/>
          <w:color w:val="000000"/>
          <w:sz w:val="28"/>
          <w:szCs w:val="28"/>
          <w:lang w:eastAsia="es-MX"/>
        </w:rPr>
      </w:pPr>
      <w:r>
        <w:rPr>
          <w:rFonts w:ascii="Times New Roman" w:eastAsia="Times New Roman" w:hAnsi="Times New Roman" w:cs="Times New Roman"/>
          <w:color w:val="000000"/>
          <w:sz w:val="28"/>
          <w:szCs w:val="28"/>
          <w:lang w:eastAsia="es-MX"/>
        </w:rPr>
        <w:t xml:space="preserve"> Sox11, bcl-1. Ciclin D1, P53.</w:t>
      </w:r>
      <w:r>
        <w:rPr>
          <w:rFonts w:ascii="Times New Roman" w:eastAsia="Times New Roman" w:hAnsi="Times New Roman" w:cs="Times New Roman"/>
          <w:color w:val="000000"/>
          <w:sz w:val="28"/>
          <w:szCs w:val="28"/>
          <w:lang w:eastAsia="es-MX"/>
        </w:rPr>
        <w:tab/>
      </w:r>
    </w:p>
    <w:p w14:paraId="088A9813" w14:textId="051C248A" w:rsidR="00B262AB" w:rsidRPr="00B262AB" w:rsidRDefault="00B262AB" w:rsidP="00B262AB">
      <w:pPr>
        <w:numPr>
          <w:ilvl w:val="1"/>
          <w:numId w:val="2"/>
        </w:numPr>
        <w:spacing w:after="240"/>
        <w:jc w:val="both"/>
        <w:textAlignment w:val="baseline"/>
        <w:rPr>
          <w:rFonts w:ascii="Times New Roman" w:eastAsia="Times New Roman" w:hAnsi="Times New Roman" w:cs="Times New Roman"/>
          <w:b/>
          <w:bCs/>
          <w:color w:val="000000"/>
          <w:sz w:val="28"/>
          <w:szCs w:val="28"/>
          <w:lang w:eastAsia="es-MX"/>
        </w:rPr>
      </w:pPr>
      <w:r>
        <w:rPr>
          <w:rFonts w:ascii="Times New Roman" w:eastAsia="Times New Roman" w:hAnsi="Times New Roman" w:cs="Times New Roman"/>
          <w:color w:val="000000"/>
          <w:sz w:val="28"/>
          <w:szCs w:val="28"/>
          <w:lang w:eastAsia="es-MX"/>
        </w:rPr>
        <w:t>Enfermedad residual minima?</w:t>
      </w:r>
      <w:r w:rsidR="003A5F8D">
        <w:rPr>
          <w:rFonts w:ascii="Times New Roman" w:eastAsia="Times New Roman" w:hAnsi="Times New Roman" w:cs="Times New Roman"/>
          <w:color w:val="000000"/>
          <w:sz w:val="28"/>
          <w:szCs w:val="28"/>
          <w:lang w:eastAsia="es-MX"/>
        </w:rPr>
        <w:t xml:space="preserve"> PCR SP MO?</w:t>
      </w:r>
    </w:p>
    <w:p w14:paraId="1AF69970" w14:textId="294DB72F" w:rsidR="00B262AB" w:rsidRPr="00B262AB" w:rsidRDefault="00B262AB" w:rsidP="001D3022">
      <w:pPr>
        <w:numPr>
          <w:ilvl w:val="0"/>
          <w:numId w:val="2"/>
        </w:numPr>
        <w:spacing w:after="240"/>
        <w:jc w:val="both"/>
        <w:textAlignment w:val="baseline"/>
        <w:rPr>
          <w:rFonts w:ascii="Times New Roman" w:eastAsia="Times New Roman" w:hAnsi="Times New Roman" w:cs="Times New Roman"/>
          <w:b/>
          <w:bCs/>
          <w:color w:val="000000"/>
          <w:sz w:val="28"/>
          <w:szCs w:val="28"/>
          <w:lang w:eastAsia="es-MX"/>
        </w:rPr>
      </w:pPr>
      <w:r>
        <w:rPr>
          <w:rFonts w:ascii="Times New Roman" w:eastAsia="Times New Roman" w:hAnsi="Times New Roman" w:cs="Times New Roman"/>
          <w:color w:val="000000"/>
          <w:sz w:val="28"/>
          <w:szCs w:val="28"/>
          <w:lang w:eastAsia="es-MX"/>
        </w:rPr>
        <w:t>Pronóstico clinico, uso MIPPI score</w:t>
      </w:r>
    </w:p>
    <w:p w14:paraId="215D2672" w14:textId="055AA696" w:rsidR="00B262AB" w:rsidRPr="001D3022" w:rsidRDefault="00B262AB" w:rsidP="001D3022">
      <w:pPr>
        <w:numPr>
          <w:ilvl w:val="0"/>
          <w:numId w:val="2"/>
        </w:numPr>
        <w:spacing w:after="240"/>
        <w:jc w:val="both"/>
        <w:textAlignment w:val="baseline"/>
        <w:rPr>
          <w:rFonts w:ascii="Times New Roman" w:eastAsia="Times New Roman" w:hAnsi="Times New Roman" w:cs="Times New Roman"/>
          <w:b/>
          <w:bCs/>
          <w:color w:val="000000"/>
          <w:sz w:val="28"/>
          <w:szCs w:val="28"/>
          <w:lang w:eastAsia="es-MX"/>
        </w:rPr>
      </w:pPr>
      <w:r>
        <w:rPr>
          <w:rFonts w:ascii="Times New Roman" w:eastAsia="Times New Roman" w:hAnsi="Times New Roman" w:cs="Times New Roman"/>
          <w:color w:val="000000"/>
          <w:sz w:val="28"/>
          <w:szCs w:val="28"/>
          <w:lang w:eastAsia="es-MX"/>
        </w:rPr>
        <w:t>Recaidas tempranas  y su relación con la inducción, posibilidades de trasnformación en la recaida</w:t>
      </w:r>
    </w:p>
    <w:p w14:paraId="782ED038" w14:textId="77777777" w:rsidR="001D3022" w:rsidRPr="001D3022" w:rsidRDefault="001D3022" w:rsidP="001D3022">
      <w:pPr>
        <w:spacing w:after="240"/>
        <w:jc w:val="both"/>
        <w:rPr>
          <w:rFonts w:ascii="Times New Roman" w:eastAsia="Times New Roman" w:hAnsi="Times New Roman" w:cs="Times New Roman"/>
          <w:lang w:eastAsia="es-MX"/>
        </w:rPr>
      </w:pPr>
      <w:r w:rsidRPr="001D3022">
        <w:rPr>
          <w:rFonts w:ascii="Times New Roman" w:eastAsia="Times New Roman" w:hAnsi="Times New Roman" w:cs="Times New Roman"/>
          <w:color w:val="000000"/>
          <w:sz w:val="28"/>
          <w:szCs w:val="28"/>
          <w:lang w:eastAsia="es-MX"/>
        </w:rPr>
        <w:t>Secundarios</w:t>
      </w:r>
    </w:p>
    <w:p w14:paraId="36F6F944" w14:textId="0C64B20B" w:rsidR="001D3022" w:rsidRPr="001D3022" w:rsidRDefault="001D3022" w:rsidP="001D3022">
      <w:pPr>
        <w:numPr>
          <w:ilvl w:val="0"/>
          <w:numId w:val="3"/>
        </w:numPr>
        <w:jc w:val="both"/>
        <w:textAlignment w:val="baseline"/>
        <w:rPr>
          <w:rFonts w:ascii="Times New Roman" w:eastAsia="Times New Roman" w:hAnsi="Times New Roman" w:cs="Times New Roman"/>
          <w:b/>
          <w:bCs/>
          <w:color w:val="000000"/>
          <w:sz w:val="28"/>
          <w:szCs w:val="28"/>
          <w:lang w:eastAsia="es-MX"/>
        </w:rPr>
      </w:pPr>
      <w:r w:rsidRPr="001D3022">
        <w:rPr>
          <w:rFonts w:ascii="Times New Roman" w:eastAsia="Times New Roman" w:hAnsi="Times New Roman" w:cs="Times New Roman"/>
          <w:color w:val="000000"/>
          <w:sz w:val="28"/>
          <w:szCs w:val="28"/>
          <w:lang w:eastAsia="es-MX"/>
        </w:rPr>
        <w:t>Evaluar la tasa de respuesta al tratamiento </w:t>
      </w:r>
      <w:r w:rsidR="003A5F8D">
        <w:rPr>
          <w:rFonts w:ascii="Times New Roman" w:eastAsia="Times New Roman" w:hAnsi="Times New Roman" w:cs="Times New Roman"/>
          <w:color w:val="000000"/>
          <w:sz w:val="28"/>
          <w:szCs w:val="28"/>
          <w:lang w:eastAsia="es-MX"/>
        </w:rPr>
        <w:t xml:space="preserve"> ( RG, RC  RP ) en los dos grupos de pacientes fit y no fit</w:t>
      </w:r>
    </w:p>
    <w:p w14:paraId="3BC58889" w14:textId="15D1C3FF" w:rsidR="001D3022" w:rsidRPr="001D3022" w:rsidRDefault="001D3022" w:rsidP="001D3022">
      <w:pPr>
        <w:numPr>
          <w:ilvl w:val="0"/>
          <w:numId w:val="3"/>
        </w:numPr>
        <w:jc w:val="both"/>
        <w:textAlignment w:val="baseline"/>
        <w:rPr>
          <w:rFonts w:ascii="Times New Roman" w:eastAsia="Times New Roman" w:hAnsi="Times New Roman" w:cs="Times New Roman"/>
          <w:b/>
          <w:bCs/>
          <w:color w:val="000000"/>
          <w:sz w:val="28"/>
          <w:szCs w:val="28"/>
          <w:lang w:eastAsia="es-MX"/>
        </w:rPr>
      </w:pPr>
      <w:r w:rsidRPr="001D3022">
        <w:rPr>
          <w:rFonts w:ascii="Times New Roman" w:eastAsia="Times New Roman" w:hAnsi="Times New Roman" w:cs="Times New Roman"/>
          <w:color w:val="000000"/>
          <w:sz w:val="28"/>
          <w:szCs w:val="28"/>
          <w:lang w:eastAsia="es-MX"/>
        </w:rPr>
        <w:t>Evaluar la sobrevida libre de progresión o sobrevida global</w:t>
      </w:r>
      <w:r w:rsidR="003A5F8D">
        <w:rPr>
          <w:rFonts w:ascii="Times New Roman" w:eastAsia="Times New Roman" w:hAnsi="Times New Roman" w:cs="Times New Roman"/>
          <w:color w:val="000000"/>
          <w:sz w:val="28"/>
          <w:szCs w:val="28"/>
          <w:lang w:eastAsia="es-MX"/>
        </w:rPr>
        <w:t xml:space="preserve">, POD 24 , tasa progresion, transformación </w:t>
      </w:r>
    </w:p>
    <w:p w14:paraId="2413B9A7" w14:textId="77777777" w:rsidR="001D3022" w:rsidRPr="001D3022" w:rsidRDefault="001D3022" w:rsidP="001D3022">
      <w:pPr>
        <w:numPr>
          <w:ilvl w:val="0"/>
          <w:numId w:val="3"/>
        </w:numPr>
        <w:spacing w:after="240"/>
        <w:jc w:val="both"/>
        <w:textAlignment w:val="baseline"/>
        <w:rPr>
          <w:rFonts w:ascii="Times New Roman" w:eastAsia="Times New Roman" w:hAnsi="Times New Roman" w:cs="Times New Roman"/>
          <w:b/>
          <w:bCs/>
          <w:color w:val="000000"/>
          <w:sz w:val="28"/>
          <w:szCs w:val="28"/>
          <w:lang w:eastAsia="es-MX"/>
        </w:rPr>
      </w:pPr>
      <w:r w:rsidRPr="001D3022">
        <w:rPr>
          <w:rFonts w:ascii="Times New Roman" w:eastAsia="Times New Roman" w:hAnsi="Times New Roman" w:cs="Times New Roman"/>
          <w:color w:val="000000"/>
          <w:sz w:val="28"/>
          <w:szCs w:val="28"/>
          <w:lang w:eastAsia="es-MX"/>
        </w:rPr>
        <w:t>Evaluar el acceso a los tratamientos y estudios diagnósticos recomendados internacionalmente en estos pacientes.</w:t>
      </w:r>
    </w:p>
    <w:p w14:paraId="23C5F2E4" w14:textId="77777777" w:rsidR="001D3022" w:rsidRPr="001D3022" w:rsidRDefault="001D3022" w:rsidP="001D3022">
      <w:pPr>
        <w:spacing w:after="240"/>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 5.  MATERIALES Y MÉTODOS</w:t>
      </w:r>
    </w:p>
    <w:p w14:paraId="7C03E9A5" w14:textId="7B3236AE" w:rsidR="001D3022" w:rsidRPr="001D3022" w:rsidRDefault="001D3022" w:rsidP="001D3022">
      <w:pPr>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 xml:space="preserve">Diseño. </w:t>
      </w:r>
      <w:r w:rsidRPr="001D3022">
        <w:rPr>
          <w:rFonts w:ascii="Times New Roman" w:eastAsia="Times New Roman" w:hAnsi="Times New Roman" w:cs="Times New Roman"/>
          <w:color w:val="000000"/>
          <w:sz w:val="28"/>
          <w:szCs w:val="28"/>
          <w:lang w:eastAsia="es-MX"/>
        </w:rPr>
        <w:t>Se realizará un estudio de cohorte retrospectivo de pacientes con diagnóstico de Linfoma del Manto atendidos en las Instituciones pertenecientes al Grupo de estudios Enfermedades Linfoproliferativas Latinoamericano  en un período comprendido entre 2010 y 2020. Analítico. </w:t>
      </w:r>
    </w:p>
    <w:p w14:paraId="3D275075" w14:textId="77777777" w:rsidR="001D3022" w:rsidRPr="001D3022" w:rsidRDefault="001D3022" w:rsidP="001D3022">
      <w:pPr>
        <w:rPr>
          <w:rFonts w:ascii="Times New Roman" w:eastAsia="Times New Roman" w:hAnsi="Times New Roman" w:cs="Times New Roman"/>
          <w:lang w:eastAsia="es-MX"/>
        </w:rPr>
      </w:pPr>
    </w:p>
    <w:p w14:paraId="2846798A" w14:textId="77777777" w:rsidR="001D3022" w:rsidRPr="001D3022" w:rsidRDefault="001D3022" w:rsidP="001D3022">
      <w:pPr>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 xml:space="preserve">Población. </w:t>
      </w:r>
      <w:r w:rsidRPr="001D3022">
        <w:rPr>
          <w:rFonts w:ascii="Times New Roman" w:eastAsia="Times New Roman" w:hAnsi="Times New Roman" w:cs="Times New Roman"/>
          <w:color w:val="000000"/>
          <w:sz w:val="28"/>
          <w:szCs w:val="28"/>
          <w:lang w:eastAsia="es-MX"/>
        </w:rPr>
        <w:t>Se evaluarán pacientes que fueron atendidos por los profesionales pertenecientes al GELL, que hayan sido diagnosticados con Linfoma del Manto entre 1 de enero 2010 y  el 31 de diciembre de 2020 . Se incluirán aquellos que cumplan los criterios de inclusión y ninguno de exclusión. Se define diagnóstico con anatomía patológica referida en la historia clínica del paciente según las recomendaciones WHO . </w:t>
      </w:r>
    </w:p>
    <w:p w14:paraId="32B15F3A" w14:textId="77777777" w:rsidR="001D3022" w:rsidRPr="001D3022" w:rsidRDefault="001D3022" w:rsidP="001D3022">
      <w:pPr>
        <w:rPr>
          <w:rFonts w:ascii="Times New Roman" w:eastAsia="Times New Roman" w:hAnsi="Times New Roman" w:cs="Times New Roman"/>
          <w:lang w:eastAsia="es-MX"/>
        </w:rPr>
      </w:pPr>
    </w:p>
    <w:p w14:paraId="599F0178" w14:textId="77777777" w:rsidR="001D3022" w:rsidRPr="001D3022" w:rsidRDefault="001D3022" w:rsidP="001D3022">
      <w:pPr>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Criterios de Selección.</w:t>
      </w:r>
    </w:p>
    <w:p w14:paraId="44084AC9" w14:textId="77777777" w:rsidR="001D3022" w:rsidRPr="001D3022" w:rsidRDefault="001D3022" w:rsidP="001D3022">
      <w:pPr>
        <w:numPr>
          <w:ilvl w:val="0"/>
          <w:numId w:val="4"/>
        </w:numPr>
        <w:jc w:val="both"/>
        <w:textAlignment w:val="baseline"/>
        <w:rPr>
          <w:rFonts w:ascii="Times New Roman" w:eastAsia="Times New Roman" w:hAnsi="Times New Roman" w:cs="Times New Roman"/>
          <w:color w:val="000000"/>
          <w:sz w:val="28"/>
          <w:szCs w:val="28"/>
          <w:lang w:eastAsia="es-MX"/>
        </w:rPr>
      </w:pPr>
      <w:r w:rsidRPr="001D3022">
        <w:rPr>
          <w:rFonts w:ascii="Times New Roman" w:eastAsia="Times New Roman" w:hAnsi="Times New Roman" w:cs="Times New Roman"/>
          <w:color w:val="000000"/>
          <w:sz w:val="28"/>
          <w:szCs w:val="28"/>
          <w:lang w:eastAsia="es-MX"/>
        </w:rPr>
        <w:t>Criterios de inclusión: Mayor de 18 años. Historia clínica con Biopsia de diagnóstico entre 1/2010 y 12/2020. </w:t>
      </w:r>
    </w:p>
    <w:p w14:paraId="0D29D3F8" w14:textId="77777777" w:rsidR="001D3022" w:rsidRPr="001D3022" w:rsidRDefault="001D3022" w:rsidP="001D3022">
      <w:pPr>
        <w:numPr>
          <w:ilvl w:val="0"/>
          <w:numId w:val="4"/>
        </w:numPr>
        <w:spacing w:after="240"/>
        <w:jc w:val="both"/>
        <w:textAlignment w:val="baseline"/>
        <w:rPr>
          <w:rFonts w:ascii="Times New Roman" w:eastAsia="Times New Roman" w:hAnsi="Times New Roman" w:cs="Times New Roman"/>
          <w:color w:val="000000"/>
          <w:sz w:val="28"/>
          <w:szCs w:val="28"/>
          <w:lang w:eastAsia="es-MX"/>
        </w:rPr>
      </w:pPr>
      <w:r w:rsidRPr="001D3022">
        <w:rPr>
          <w:rFonts w:ascii="Times New Roman" w:eastAsia="Times New Roman" w:hAnsi="Times New Roman" w:cs="Times New Roman"/>
          <w:color w:val="000000"/>
          <w:sz w:val="28"/>
          <w:szCs w:val="28"/>
          <w:lang w:eastAsia="es-MX"/>
        </w:rPr>
        <w:t>Criterios de exclusión: Sin historia clínica disponible. </w:t>
      </w:r>
    </w:p>
    <w:p w14:paraId="18B5877F" w14:textId="77777777" w:rsidR="001D3022" w:rsidRPr="001D3022" w:rsidRDefault="001D3022" w:rsidP="001D3022">
      <w:pPr>
        <w:spacing w:after="240"/>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6. PROCEDIMIENTOS DEL ESTUDIO</w:t>
      </w:r>
    </w:p>
    <w:p w14:paraId="071BC1AC" w14:textId="77777777" w:rsidR="001D3022" w:rsidRPr="001D3022" w:rsidRDefault="001D3022" w:rsidP="001D3022">
      <w:pPr>
        <w:numPr>
          <w:ilvl w:val="0"/>
          <w:numId w:val="5"/>
        </w:numPr>
        <w:jc w:val="both"/>
        <w:textAlignment w:val="baseline"/>
        <w:rPr>
          <w:rFonts w:ascii="Times New Roman" w:eastAsia="Times New Roman" w:hAnsi="Times New Roman" w:cs="Times New Roman"/>
          <w:color w:val="212121"/>
          <w:sz w:val="28"/>
          <w:szCs w:val="28"/>
          <w:lang w:eastAsia="es-MX"/>
        </w:rPr>
      </w:pPr>
      <w:r w:rsidRPr="001D3022">
        <w:rPr>
          <w:rFonts w:ascii="Times New Roman" w:eastAsia="Times New Roman" w:hAnsi="Times New Roman" w:cs="Times New Roman"/>
          <w:color w:val="212121"/>
          <w:sz w:val="28"/>
          <w:szCs w:val="28"/>
          <w:lang w:eastAsia="es-MX"/>
        </w:rPr>
        <w:t>Se invitará a participar a todos los centros de latinoamérica incluidos en el grupo latinomericano de estudio de linfoma (GELL) a que envien potenciales pacientes.</w:t>
      </w:r>
    </w:p>
    <w:p w14:paraId="4EE18F3E" w14:textId="77777777" w:rsidR="001D3022" w:rsidRPr="001D3022" w:rsidRDefault="001D3022" w:rsidP="001D3022">
      <w:pPr>
        <w:numPr>
          <w:ilvl w:val="0"/>
          <w:numId w:val="5"/>
        </w:numPr>
        <w:jc w:val="both"/>
        <w:textAlignment w:val="baseline"/>
        <w:rPr>
          <w:rFonts w:ascii="Times New Roman" w:eastAsia="Times New Roman" w:hAnsi="Times New Roman" w:cs="Times New Roman"/>
          <w:color w:val="212121"/>
          <w:sz w:val="28"/>
          <w:szCs w:val="28"/>
          <w:lang w:eastAsia="es-MX"/>
        </w:rPr>
      </w:pPr>
      <w:r w:rsidRPr="001D3022">
        <w:rPr>
          <w:rFonts w:ascii="Times New Roman" w:eastAsia="Times New Roman" w:hAnsi="Times New Roman" w:cs="Times New Roman"/>
          <w:color w:val="212121"/>
          <w:sz w:val="28"/>
          <w:szCs w:val="28"/>
          <w:lang w:eastAsia="es-MX"/>
        </w:rPr>
        <w:t>Se realizará una búsqueda sistemática en la base de datos informática de cada centro de referencia hemato-oncológica de los investigadores pertenecientes al grupo GELL y se evaluarán todos los pacientes que tengan ingresado como problema linfoma del manto en el periodo de estudio </w:t>
      </w:r>
    </w:p>
    <w:p w14:paraId="3E411A5C" w14:textId="77777777" w:rsidR="001D3022" w:rsidRPr="001D3022" w:rsidRDefault="001D3022" w:rsidP="001D3022">
      <w:pPr>
        <w:numPr>
          <w:ilvl w:val="0"/>
          <w:numId w:val="5"/>
        </w:numPr>
        <w:jc w:val="both"/>
        <w:textAlignment w:val="baseline"/>
        <w:rPr>
          <w:rFonts w:ascii="Times New Roman" w:eastAsia="Times New Roman" w:hAnsi="Times New Roman" w:cs="Times New Roman"/>
          <w:color w:val="212121"/>
          <w:sz w:val="28"/>
          <w:szCs w:val="28"/>
          <w:lang w:eastAsia="es-MX"/>
        </w:rPr>
      </w:pPr>
      <w:r w:rsidRPr="001D3022">
        <w:rPr>
          <w:rFonts w:ascii="Times New Roman" w:eastAsia="Times New Roman" w:hAnsi="Times New Roman" w:cs="Times New Roman"/>
          <w:color w:val="212121"/>
          <w:sz w:val="28"/>
          <w:szCs w:val="28"/>
          <w:lang w:eastAsia="es-MX"/>
        </w:rPr>
        <w:t>Se incluirán todos los pacientes que cumplan con los criterios de selección y se revisarán las historias clínicas por h</w:t>
      </w:r>
      <w:r w:rsidRPr="001D3022">
        <w:rPr>
          <w:rFonts w:ascii="Times New Roman" w:eastAsia="Times New Roman" w:hAnsi="Times New Roman" w:cs="Times New Roman"/>
          <w:color w:val="000000"/>
          <w:sz w:val="28"/>
          <w:szCs w:val="28"/>
          <w:lang w:eastAsia="es-MX"/>
        </w:rPr>
        <w:t>ematólogo entrenado.</w:t>
      </w:r>
      <w:r w:rsidRPr="001D3022">
        <w:rPr>
          <w:rFonts w:ascii="Times New Roman" w:eastAsia="Times New Roman" w:hAnsi="Times New Roman" w:cs="Times New Roman"/>
          <w:color w:val="FF0000"/>
          <w:sz w:val="28"/>
          <w:szCs w:val="28"/>
          <w:lang w:eastAsia="es-MX"/>
        </w:rPr>
        <w:t xml:space="preserve">  </w:t>
      </w:r>
      <w:r w:rsidRPr="001D3022">
        <w:rPr>
          <w:rFonts w:ascii="Times New Roman" w:eastAsia="Times New Roman" w:hAnsi="Times New Roman" w:cs="Times New Roman"/>
          <w:color w:val="000000"/>
          <w:sz w:val="28"/>
          <w:szCs w:val="28"/>
          <w:lang w:eastAsia="es-MX"/>
        </w:rPr>
        <w:t>  </w:t>
      </w:r>
    </w:p>
    <w:p w14:paraId="629D1748" w14:textId="77777777" w:rsidR="001D3022" w:rsidRPr="001D3022" w:rsidRDefault="001D3022" w:rsidP="001D3022">
      <w:pPr>
        <w:numPr>
          <w:ilvl w:val="0"/>
          <w:numId w:val="5"/>
        </w:numPr>
        <w:textAlignment w:val="baseline"/>
        <w:rPr>
          <w:rFonts w:ascii="Times New Roman" w:eastAsia="Times New Roman" w:hAnsi="Times New Roman" w:cs="Times New Roman"/>
          <w:color w:val="212121"/>
          <w:sz w:val="28"/>
          <w:szCs w:val="28"/>
          <w:lang w:eastAsia="es-MX"/>
        </w:rPr>
      </w:pPr>
      <w:r w:rsidRPr="001D3022">
        <w:rPr>
          <w:rFonts w:ascii="Times New Roman" w:eastAsia="Times New Roman" w:hAnsi="Times New Roman" w:cs="Times New Roman"/>
          <w:color w:val="000000"/>
          <w:sz w:val="28"/>
          <w:szCs w:val="28"/>
          <w:lang w:eastAsia="es-MX"/>
        </w:rPr>
        <w:t>El seguimiento se realizará hasta pérdida o muerte del paciente. </w:t>
      </w:r>
    </w:p>
    <w:p w14:paraId="3F931985" w14:textId="77777777" w:rsidR="001D3022" w:rsidRPr="001D3022" w:rsidRDefault="001D3022" w:rsidP="001D3022">
      <w:pPr>
        <w:numPr>
          <w:ilvl w:val="0"/>
          <w:numId w:val="5"/>
        </w:numPr>
        <w:jc w:val="both"/>
        <w:textAlignment w:val="baseline"/>
        <w:rPr>
          <w:rFonts w:ascii="Times New Roman" w:eastAsia="Times New Roman" w:hAnsi="Times New Roman" w:cs="Times New Roman"/>
          <w:b/>
          <w:bCs/>
          <w:color w:val="212121"/>
          <w:sz w:val="28"/>
          <w:szCs w:val="28"/>
          <w:lang w:eastAsia="es-MX"/>
        </w:rPr>
      </w:pPr>
      <w:r w:rsidRPr="001D3022">
        <w:rPr>
          <w:rFonts w:ascii="Times New Roman" w:eastAsia="Times New Roman" w:hAnsi="Times New Roman" w:cs="Times New Roman"/>
          <w:color w:val="000000"/>
          <w:sz w:val="28"/>
          <w:szCs w:val="28"/>
          <w:lang w:eastAsia="es-MX"/>
        </w:rPr>
        <w:t>Se identificará a cada paciente con el siguiente código: conjunto de letras de nombre/s y apellido seguido de año de nacimiento.</w:t>
      </w:r>
    </w:p>
    <w:p w14:paraId="0946E088" w14:textId="77777777" w:rsidR="001D3022" w:rsidRPr="001D3022" w:rsidRDefault="001D3022" w:rsidP="001D3022">
      <w:pPr>
        <w:numPr>
          <w:ilvl w:val="0"/>
          <w:numId w:val="5"/>
        </w:numPr>
        <w:jc w:val="both"/>
        <w:textAlignment w:val="baseline"/>
        <w:rPr>
          <w:rFonts w:ascii="Times New Roman" w:eastAsia="Times New Roman" w:hAnsi="Times New Roman" w:cs="Times New Roman"/>
          <w:b/>
          <w:bCs/>
          <w:color w:val="212121"/>
          <w:sz w:val="28"/>
          <w:szCs w:val="28"/>
          <w:lang w:eastAsia="es-MX"/>
        </w:rPr>
      </w:pPr>
      <w:r w:rsidRPr="001D3022">
        <w:rPr>
          <w:rFonts w:ascii="Times New Roman" w:eastAsia="Times New Roman" w:hAnsi="Times New Roman" w:cs="Times New Roman"/>
          <w:color w:val="000000"/>
          <w:sz w:val="28"/>
          <w:szCs w:val="28"/>
          <w:lang w:eastAsia="es-MX"/>
        </w:rPr>
        <w:t>Se identificara inmunohistoquímica positividad, negatividad, no realizado: cd20, cd5, ciclina, ki67, sox11, p53. </w:t>
      </w:r>
    </w:p>
    <w:p w14:paraId="7F207361" w14:textId="77777777" w:rsidR="001D3022" w:rsidRPr="001D3022" w:rsidRDefault="001D3022" w:rsidP="001D3022">
      <w:pPr>
        <w:numPr>
          <w:ilvl w:val="0"/>
          <w:numId w:val="5"/>
        </w:numPr>
        <w:jc w:val="both"/>
        <w:textAlignment w:val="baseline"/>
        <w:rPr>
          <w:rFonts w:ascii="Times New Roman" w:eastAsia="Times New Roman" w:hAnsi="Times New Roman" w:cs="Times New Roman"/>
          <w:color w:val="212121"/>
          <w:sz w:val="28"/>
          <w:szCs w:val="28"/>
          <w:lang w:eastAsia="es-MX"/>
        </w:rPr>
      </w:pPr>
      <w:r w:rsidRPr="001D3022">
        <w:rPr>
          <w:rFonts w:ascii="Times New Roman" w:eastAsia="Times New Roman" w:hAnsi="Times New Roman" w:cs="Times New Roman"/>
          <w:color w:val="000000"/>
          <w:sz w:val="28"/>
          <w:szCs w:val="28"/>
          <w:lang w:eastAsia="es-MX"/>
        </w:rPr>
        <w:t>Se describirá estadío al diagnóstico y método de estadificación.</w:t>
      </w:r>
    </w:p>
    <w:p w14:paraId="1AF7565D" w14:textId="77777777" w:rsidR="001D3022" w:rsidRPr="001D3022" w:rsidRDefault="001D3022" w:rsidP="001D3022">
      <w:pPr>
        <w:numPr>
          <w:ilvl w:val="0"/>
          <w:numId w:val="5"/>
        </w:numPr>
        <w:jc w:val="both"/>
        <w:textAlignment w:val="baseline"/>
        <w:rPr>
          <w:rFonts w:ascii="Times New Roman" w:eastAsia="Times New Roman" w:hAnsi="Times New Roman" w:cs="Times New Roman"/>
          <w:b/>
          <w:bCs/>
          <w:color w:val="212121"/>
          <w:sz w:val="28"/>
          <w:szCs w:val="28"/>
          <w:lang w:eastAsia="es-MX"/>
        </w:rPr>
      </w:pPr>
      <w:r w:rsidRPr="001D3022">
        <w:rPr>
          <w:rFonts w:ascii="Times New Roman" w:eastAsia="Times New Roman" w:hAnsi="Times New Roman" w:cs="Times New Roman"/>
          <w:color w:val="000000"/>
          <w:sz w:val="28"/>
          <w:szCs w:val="28"/>
          <w:lang w:eastAsia="es-MX"/>
        </w:rPr>
        <w:t>Se describirá el tipo de tratamiento recibido en primera linea, inducción, número de ciclos.</w:t>
      </w:r>
    </w:p>
    <w:p w14:paraId="1DB8E6A8" w14:textId="77777777" w:rsidR="001D3022" w:rsidRPr="001D3022" w:rsidRDefault="001D3022" w:rsidP="001D3022">
      <w:pPr>
        <w:numPr>
          <w:ilvl w:val="0"/>
          <w:numId w:val="5"/>
        </w:numPr>
        <w:jc w:val="both"/>
        <w:textAlignment w:val="baseline"/>
        <w:rPr>
          <w:rFonts w:ascii="Times New Roman" w:eastAsia="Times New Roman" w:hAnsi="Times New Roman" w:cs="Times New Roman"/>
          <w:color w:val="212121"/>
          <w:sz w:val="28"/>
          <w:szCs w:val="28"/>
          <w:lang w:eastAsia="es-MX"/>
        </w:rPr>
      </w:pPr>
      <w:r w:rsidRPr="001D3022">
        <w:rPr>
          <w:rFonts w:ascii="Times New Roman" w:eastAsia="Times New Roman" w:hAnsi="Times New Roman" w:cs="Times New Roman"/>
          <w:color w:val="000000"/>
          <w:sz w:val="28"/>
          <w:szCs w:val="28"/>
          <w:lang w:eastAsia="es-MX"/>
        </w:rPr>
        <w:t>Se describirá la respuesta al tratamiento de primera línea y método del evaluación de la misma. </w:t>
      </w:r>
    </w:p>
    <w:p w14:paraId="59758FB3" w14:textId="77777777" w:rsidR="001D3022" w:rsidRPr="001D3022" w:rsidRDefault="001D3022" w:rsidP="001D3022">
      <w:pPr>
        <w:numPr>
          <w:ilvl w:val="0"/>
          <w:numId w:val="5"/>
        </w:numPr>
        <w:jc w:val="both"/>
        <w:textAlignment w:val="baseline"/>
        <w:rPr>
          <w:rFonts w:ascii="Times New Roman" w:eastAsia="Times New Roman" w:hAnsi="Times New Roman" w:cs="Times New Roman"/>
          <w:color w:val="212121"/>
          <w:sz w:val="28"/>
          <w:szCs w:val="28"/>
          <w:lang w:eastAsia="es-MX"/>
        </w:rPr>
      </w:pPr>
      <w:r w:rsidRPr="001D3022">
        <w:rPr>
          <w:rFonts w:ascii="Times New Roman" w:eastAsia="Times New Roman" w:hAnsi="Times New Roman" w:cs="Times New Roman"/>
          <w:color w:val="000000"/>
          <w:sz w:val="28"/>
          <w:szCs w:val="28"/>
          <w:lang w:eastAsia="es-MX"/>
        </w:rPr>
        <w:t>La data posteriormente se unificará para ejecutar la evaluación epidemiológica y estadística por el grupo de investigadores.</w:t>
      </w:r>
    </w:p>
    <w:p w14:paraId="0E16A99C" w14:textId="77777777" w:rsidR="001D3022" w:rsidRPr="001D3022" w:rsidRDefault="001D3022" w:rsidP="001D3022">
      <w:pPr>
        <w:numPr>
          <w:ilvl w:val="0"/>
          <w:numId w:val="5"/>
        </w:numPr>
        <w:jc w:val="both"/>
        <w:textAlignment w:val="baseline"/>
        <w:rPr>
          <w:rFonts w:ascii="Times New Roman" w:eastAsia="Times New Roman" w:hAnsi="Times New Roman" w:cs="Times New Roman"/>
          <w:color w:val="212121"/>
          <w:sz w:val="28"/>
          <w:szCs w:val="28"/>
          <w:lang w:eastAsia="es-MX"/>
        </w:rPr>
      </w:pPr>
      <w:r w:rsidRPr="001D3022">
        <w:rPr>
          <w:rFonts w:ascii="Times New Roman" w:eastAsia="Times New Roman" w:hAnsi="Times New Roman" w:cs="Times New Roman"/>
          <w:color w:val="000000"/>
          <w:sz w:val="28"/>
          <w:szCs w:val="28"/>
          <w:lang w:eastAsia="es-MX"/>
        </w:rPr>
        <w:t>Análisis de los datos y conclusiones serán ejecutados con la intención de publicación en una revista indizada.</w:t>
      </w:r>
    </w:p>
    <w:p w14:paraId="16758883" w14:textId="77777777" w:rsidR="001D3022" w:rsidRPr="001D3022" w:rsidRDefault="001D3022" w:rsidP="001D3022">
      <w:pPr>
        <w:numPr>
          <w:ilvl w:val="0"/>
          <w:numId w:val="5"/>
        </w:numPr>
        <w:jc w:val="both"/>
        <w:textAlignment w:val="baseline"/>
        <w:rPr>
          <w:rFonts w:ascii="Times New Roman" w:eastAsia="Times New Roman" w:hAnsi="Times New Roman" w:cs="Times New Roman"/>
          <w:color w:val="212121"/>
          <w:sz w:val="28"/>
          <w:szCs w:val="28"/>
          <w:lang w:eastAsia="es-MX"/>
        </w:rPr>
      </w:pPr>
      <w:r w:rsidRPr="001D3022">
        <w:rPr>
          <w:rFonts w:ascii="Times New Roman" w:eastAsia="Times New Roman" w:hAnsi="Times New Roman" w:cs="Times New Roman"/>
          <w:color w:val="000000"/>
          <w:sz w:val="28"/>
          <w:szCs w:val="28"/>
          <w:lang w:eastAsia="es-MX"/>
        </w:rPr>
        <w:t>Todos los participantes formaran parte de la publicación final. El rol de los autores se organizará de acuerdo con el margen de contribución en términos de casos de forma individual después del IP y de los coinvestigadores operativos. </w:t>
      </w:r>
    </w:p>
    <w:p w14:paraId="3602BDF7" w14:textId="77777777" w:rsidR="001D3022" w:rsidRPr="001D3022" w:rsidRDefault="001D3022" w:rsidP="001D3022">
      <w:pPr>
        <w:numPr>
          <w:ilvl w:val="0"/>
          <w:numId w:val="5"/>
        </w:numPr>
        <w:jc w:val="both"/>
        <w:textAlignment w:val="baseline"/>
        <w:rPr>
          <w:rFonts w:ascii="Times New Roman" w:eastAsia="Times New Roman" w:hAnsi="Times New Roman" w:cs="Times New Roman"/>
          <w:color w:val="212121"/>
          <w:sz w:val="28"/>
          <w:szCs w:val="28"/>
          <w:lang w:eastAsia="es-MX"/>
        </w:rPr>
      </w:pPr>
      <w:r w:rsidRPr="001D3022">
        <w:rPr>
          <w:rFonts w:ascii="Times New Roman" w:eastAsia="Times New Roman" w:hAnsi="Times New Roman" w:cs="Times New Roman"/>
          <w:color w:val="000000"/>
          <w:sz w:val="28"/>
          <w:szCs w:val="28"/>
          <w:lang w:eastAsia="es-MX"/>
        </w:rPr>
        <w:t>La información recolectada será únicamente utilizada para fines académicos y quedará bajo confidencialidad del grupo, pudiendo acceder a ella únicamente aquellos involucrados en este proyecto o a quienes ellos autoricen pudiendo usarse para futuros proyectos con IP diferentes si así fuera el caso.</w:t>
      </w:r>
    </w:p>
    <w:p w14:paraId="223E854C" w14:textId="77777777" w:rsidR="001D3022" w:rsidRPr="001D3022" w:rsidRDefault="001D3022" w:rsidP="001D3022">
      <w:pPr>
        <w:numPr>
          <w:ilvl w:val="0"/>
          <w:numId w:val="5"/>
        </w:numPr>
        <w:spacing w:after="240"/>
        <w:jc w:val="both"/>
        <w:textAlignment w:val="baseline"/>
        <w:rPr>
          <w:rFonts w:ascii="Times New Roman" w:eastAsia="Times New Roman" w:hAnsi="Times New Roman" w:cs="Times New Roman"/>
          <w:color w:val="212121"/>
          <w:sz w:val="28"/>
          <w:szCs w:val="28"/>
          <w:lang w:eastAsia="es-MX"/>
        </w:rPr>
      </w:pPr>
      <w:r w:rsidRPr="001D3022">
        <w:rPr>
          <w:rFonts w:ascii="Times New Roman" w:eastAsia="Times New Roman" w:hAnsi="Times New Roman" w:cs="Times New Roman"/>
          <w:color w:val="000000"/>
          <w:sz w:val="28"/>
          <w:szCs w:val="28"/>
          <w:lang w:eastAsia="es-MX"/>
        </w:rPr>
        <w:t>Este protocolo no debe ser usado, divulgado, publicado ni de cualquier forma difundido sin la autorización. Confidencialidad.</w:t>
      </w:r>
    </w:p>
    <w:p w14:paraId="538C82E9" w14:textId="77777777" w:rsidR="001D3022" w:rsidRPr="001D3022" w:rsidRDefault="001D3022" w:rsidP="001D3022">
      <w:pPr>
        <w:rPr>
          <w:rFonts w:ascii="Times New Roman" w:eastAsia="Times New Roman" w:hAnsi="Times New Roman" w:cs="Times New Roman"/>
          <w:lang w:eastAsia="es-MX"/>
        </w:rPr>
      </w:pPr>
    </w:p>
    <w:p w14:paraId="5086F75D" w14:textId="77777777" w:rsidR="001D3022" w:rsidRPr="001D3022" w:rsidRDefault="001D3022" w:rsidP="001D3022">
      <w:pPr>
        <w:spacing w:before="200"/>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7. MUESTREO Y CÁLCULO MUESTRAL. </w:t>
      </w:r>
    </w:p>
    <w:p w14:paraId="64CC9901" w14:textId="77777777" w:rsidR="001D3022" w:rsidRPr="001D3022" w:rsidRDefault="001D3022" w:rsidP="001D3022">
      <w:pPr>
        <w:spacing w:before="200"/>
        <w:jc w:val="both"/>
        <w:rPr>
          <w:rFonts w:ascii="Times New Roman" w:eastAsia="Times New Roman" w:hAnsi="Times New Roman" w:cs="Times New Roman"/>
          <w:lang w:eastAsia="es-MX"/>
        </w:rPr>
      </w:pPr>
      <w:r w:rsidRPr="001D3022">
        <w:rPr>
          <w:rFonts w:ascii="Times New Roman" w:eastAsia="Times New Roman" w:hAnsi="Times New Roman" w:cs="Times New Roman"/>
          <w:color w:val="000000"/>
          <w:sz w:val="28"/>
          <w:szCs w:val="28"/>
          <w:lang w:eastAsia="es-MX"/>
        </w:rPr>
        <w:t>Se realizará un muestreo consecutivo de todos los pacientes ingresados por los profesionales en el grupo GELL. Dado que se trata de una patología de baja prevalencia se tomará la totalidad de la población del período de estudio. Se calculará el poder del análisis una vez reclutados los pacientes.</w:t>
      </w:r>
    </w:p>
    <w:p w14:paraId="18169C9F" w14:textId="77777777" w:rsidR="001D3022" w:rsidRPr="001D3022" w:rsidRDefault="001D3022" w:rsidP="001D3022">
      <w:pPr>
        <w:rPr>
          <w:rFonts w:ascii="Times New Roman" w:eastAsia="Times New Roman" w:hAnsi="Times New Roman" w:cs="Times New Roman"/>
          <w:lang w:eastAsia="es-MX"/>
        </w:rPr>
      </w:pPr>
    </w:p>
    <w:p w14:paraId="368350C3" w14:textId="77777777" w:rsidR="001D3022" w:rsidRPr="001D3022" w:rsidRDefault="001D3022" w:rsidP="001D3022">
      <w:pPr>
        <w:spacing w:after="240"/>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8. PROCEDIMIENTOS PARA GARANTIZAR ASPECTOS ÉTICOS. </w:t>
      </w:r>
    </w:p>
    <w:p w14:paraId="66BE09E0" w14:textId="77777777" w:rsidR="001D3022" w:rsidRPr="001D3022" w:rsidRDefault="001D3022" w:rsidP="001D3022">
      <w:pPr>
        <w:spacing w:after="240"/>
        <w:jc w:val="both"/>
        <w:rPr>
          <w:rFonts w:ascii="Times New Roman" w:eastAsia="Times New Roman" w:hAnsi="Times New Roman" w:cs="Times New Roman"/>
          <w:lang w:eastAsia="es-MX"/>
        </w:rPr>
      </w:pPr>
      <w:r w:rsidRPr="001D3022">
        <w:rPr>
          <w:rFonts w:ascii="Times New Roman" w:eastAsia="Times New Roman" w:hAnsi="Times New Roman" w:cs="Times New Roman"/>
          <w:color w:val="000000"/>
          <w:sz w:val="28"/>
          <w:szCs w:val="28"/>
          <w:lang w:eastAsia="es-MX"/>
        </w:rPr>
        <w:t>No se espera que los sujetos de estudio tengan beneficio alguno ni tendrán ningún riesgo. Todos los datos de los pacientes se registrarán en una base de datos segura y sin identificación. </w:t>
      </w:r>
    </w:p>
    <w:p w14:paraId="238DC9B1" w14:textId="77777777" w:rsidR="001D3022" w:rsidRPr="001D3022" w:rsidRDefault="001D3022" w:rsidP="001D3022">
      <w:pPr>
        <w:numPr>
          <w:ilvl w:val="0"/>
          <w:numId w:val="6"/>
        </w:numPr>
        <w:jc w:val="both"/>
        <w:textAlignment w:val="baseline"/>
        <w:rPr>
          <w:rFonts w:ascii="Times New Roman" w:eastAsia="Times New Roman" w:hAnsi="Times New Roman" w:cs="Times New Roman"/>
          <w:color w:val="000000"/>
          <w:sz w:val="28"/>
          <w:szCs w:val="28"/>
          <w:lang w:eastAsia="es-MX"/>
        </w:rPr>
      </w:pPr>
      <w:r w:rsidRPr="001D3022">
        <w:rPr>
          <w:rFonts w:ascii="Times New Roman" w:eastAsia="Times New Roman" w:hAnsi="Times New Roman" w:cs="Times New Roman"/>
          <w:color w:val="000000"/>
          <w:sz w:val="28"/>
          <w:szCs w:val="28"/>
          <w:lang w:eastAsia="es-MX"/>
        </w:rPr>
        <w:t>Consentimiento informado.  No se obtendrá el consentimiento informado en este estudio. </w:t>
      </w:r>
    </w:p>
    <w:p w14:paraId="117F53AF" w14:textId="77777777" w:rsidR="001D3022" w:rsidRPr="001D3022" w:rsidRDefault="001D3022" w:rsidP="001D3022">
      <w:pPr>
        <w:numPr>
          <w:ilvl w:val="0"/>
          <w:numId w:val="6"/>
        </w:numPr>
        <w:spacing w:after="240"/>
        <w:jc w:val="both"/>
        <w:textAlignment w:val="baseline"/>
        <w:rPr>
          <w:rFonts w:ascii="Times New Roman" w:eastAsia="Times New Roman" w:hAnsi="Times New Roman" w:cs="Times New Roman"/>
          <w:color w:val="000000"/>
          <w:sz w:val="28"/>
          <w:szCs w:val="28"/>
          <w:lang w:eastAsia="es-MX"/>
        </w:rPr>
      </w:pPr>
      <w:r w:rsidRPr="001D3022">
        <w:rPr>
          <w:rFonts w:ascii="Times New Roman" w:eastAsia="Times New Roman" w:hAnsi="Times New Roman" w:cs="Times New Roman"/>
          <w:color w:val="000000"/>
          <w:sz w:val="28"/>
          <w:szCs w:val="28"/>
          <w:lang w:eastAsia="es-MX"/>
        </w:rPr>
        <w:t>Se obtendrán las autorizaciones correspondientes en cada institución y la aprobación del protocolo por parte del comité de bioética de cada una de ellas. El presente estudio se adhiere a las normas éticas internacionales (CIOMS 2016), salvaguardando los principios fundamentales de respeto a las personas, beneficencia y justicia.</w:t>
      </w:r>
    </w:p>
    <w:p w14:paraId="5CBA25E2" w14:textId="77777777" w:rsidR="001D3022" w:rsidRPr="001D3022" w:rsidRDefault="001D3022" w:rsidP="001D3022">
      <w:pPr>
        <w:spacing w:after="240"/>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9. VARIABLES A EVALUAR. (Anexo 1) </w:t>
      </w:r>
    </w:p>
    <w:p w14:paraId="6C4C299D" w14:textId="77777777" w:rsidR="001D3022" w:rsidRPr="001D3022" w:rsidRDefault="001D3022" w:rsidP="001D3022">
      <w:pPr>
        <w:numPr>
          <w:ilvl w:val="0"/>
          <w:numId w:val="7"/>
        </w:numPr>
        <w:jc w:val="both"/>
        <w:textAlignment w:val="baseline"/>
        <w:rPr>
          <w:rFonts w:ascii="Times New Roman" w:eastAsia="Times New Roman" w:hAnsi="Times New Roman" w:cs="Times New Roman"/>
          <w:color w:val="000000"/>
          <w:sz w:val="28"/>
          <w:szCs w:val="28"/>
          <w:lang w:eastAsia="es-MX"/>
        </w:rPr>
      </w:pPr>
      <w:r w:rsidRPr="001D3022">
        <w:rPr>
          <w:rFonts w:ascii="Times New Roman" w:eastAsia="Times New Roman" w:hAnsi="Times New Roman" w:cs="Times New Roman"/>
          <w:color w:val="000000"/>
          <w:sz w:val="28"/>
          <w:szCs w:val="28"/>
          <w:lang w:eastAsia="es-MX"/>
        </w:rPr>
        <w:t>Caracteristicas del Paciente: Fecha de nacimiento, sexo, nacionalidad, historia familiar de LNH, Indice de comorbilidad Charlson al diagnóstico. </w:t>
      </w:r>
    </w:p>
    <w:p w14:paraId="40E5560F" w14:textId="77777777" w:rsidR="001D3022" w:rsidRPr="001D3022" w:rsidRDefault="001D3022" w:rsidP="001D3022">
      <w:pPr>
        <w:numPr>
          <w:ilvl w:val="0"/>
          <w:numId w:val="7"/>
        </w:numPr>
        <w:jc w:val="both"/>
        <w:textAlignment w:val="baseline"/>
        <w:rPr>
          <w:rFonts w:ascii="Times New Roman" w:eastAsia="Times New Roman" w:hAnsi="Times New Roman" w:cs="Times New Roman"/>
          <w:color w:val="000000"/>
          <w:sz w:val="28"/>
          <w:szCs w:val="28"/>
          <w:lang w:eastAsia="es-MX"/>
        </w:rPr>
      </w:pPr>
      <w:r w:rsidRPr="001D3022">
        <w:rPr>
          <w:rFonts w:ascii="Times New Roman" w:eastAsia="Times New Roman" w:hAnsi="Times New Roman" w:cs="Times New Roman"/>
          <w:color w:val="000000"/>
          <w:sz w:val="28"/>
          <w:szCs w:val="28"/>
          <w:lang w:eastAsia="es-MX"/>
        </w:rPr>
        <w:t>Características de la enfermedad. Fecha de diagnóstico, Performance Status al diagnóstico (ECOG), presencia de síntomas B, Presencia de síntomas Gastrointestinales,  Laboratorio al diagnóstico: lactato deshidrogenasa, beta 2 microglobulina, presencia de citopenias, citopenia grado 3-4, Recuento de leucocitos totales, albúmina. Variante al diagnóstico: Leucémico, Clásico, Blastoide, Pleomórfica, In Situ. Inmunohistoquímica: ciclina d1, sox11, ki 67. Fish t(11,14), P53, Mutación IGVH. Estadio, Método de estadificación, PAMO, Endoscopias, Compromiso Extranodal, Sitio de compromiso EN, Score MIPI. </w:t>
      </w:r>
    </w:p>
    <w:p w14:paraId="39235830" w14:textId="77777777" w:rsidR="001D3022" w:rsidRPr="001D3022" w:rsidRDefault="001D3022" w:rsidP="001D3022">
      <w:pPr>
        <w:numPr>
          <w:ilvl w:val="0"/>
          <w:numId w:val="7"/>
        </w:numPr>
        <w:spacing w:after="240"/>
        <w:jc w:val="both"/>
        <w:textAlignment w:val="baseline"/>
        <w:rPr>
          <w:rFonts w:ascii="Times New Roman" w:eastAsia="Times New Roman" w:hAnsi="Times New Roman" w:cs="Times New Roman"/>
          <w:color w:val="000000"/>
          <w:sz w:val="28"/>
          <w:szCs w:val="28"/>
          <w:lang w:eastAsia="es-MX"/>
        </w:rPr>
      </w:pPr>
      <w:r w:rsidRPr="001D3022">
        <w:rPr>
          <w:rFonts w:ascii="Times New Roman" w:eastAsia="Times New Roman" w:hAnsi="Times New Roman" w:cs="Times New Roman"/>
          <w:color w:val="000000"/>
          <w:sz w:val="28"/>
          <w:szCs w:val="28"/>
          <w:lang w:eastAsia="es-MX"/>
        </w:rPr>
        <w:t>Tratamientos:</w:t>
      </w:r>
    </w:p>
    <w:p w14:paraId="1BFB0201" w14:textId="77777777" w:rsidR="001D3022" w:rsidRPr="001D3022" w:rsidRDefault="001D3022" w:rsidP="001D3022">
      <w:pPr>
        <w:spacing w:after="240"/>
        <w:ind w:left="720"/>
        <w:jc w:val="both"/>
        <w:rPr>
          <w:rFonts w:ascii="Times New Roman" w:eastAsia="Times New Roman" w:hAnsi="Times New Roman" w:cs="Times New Roman"/>
          <w:lang w:eastAsia="es-MX"/>
        </w:rPr>
      </w:pPr>
      <w:r w:rsidRPr="001D3022">
        <w:rPr>
          <w:rFonts w:ascii="Times New Roman" w:eastAsia="Times New Roman" w:hAnsi="Times New Roman" w:cs="Times New Roman"/>
          <w:color w:val="000000"/>
          <w:sz w:val="28"/>
          <w:szCs w:val="28"/>
          <w:lang w:eastAsia="es-MX"/>
        </w:rPr>
        <w:tab/>
        <w:t>Primera línea: Tipo de tratamiento, fecha de tratamiento, respuesta a tratamiento, Consolidación con Trasplante autólogo. Mantenimiento. Duración de mantenimiento. </w:t>
      </w:r>
    </w:p>
    <w:p w14:paraId="0788AEAB" w14:textId="77777777" w:rsidR="001D3022" w:rsidRPr="001D3022" w:rsidRDefault="001D3022" w:rsidP="001D3022">
      <w:pPr>
        <w:spacing w:after="240"/>
        <w:ind w:left="720"/>
        <w:jc w:val="both"/>
        <w:rPr>
          <w:rFonts w:ascii="Times New Roman" w:eastAsia="Times New Roman" w:hAnsi="Times New Roman" w:cs="Times New Roman"/>
          <w:lang w:eastAsia="es-MX"/>
        </w:rPr>
      </w:pPr>
      <w:r w:rsidRPr="001D3022">
        <w:rPr>
          <w:rFonts w:ascii="Times New Roman" w:eastAsia="Times New Roman" w:hAnsi="Times New Roman" w:cs="Times New Roman"/>
          <w:color w:val="000000"/>
          <w:sz w:val="28"/>
          <w:szCs w:val="28"/>
          <w:lang w:eastAsia="es-MX"/>
        </w:rPr>
        <w:tab/>
        <w:t>Segunda línea. Fecha de recaída, Tipo de tratamiento, respuesta a tratamiento. </w:t>
      </w:r>
    </w:p>
    <w:p w14:paraId="21A1827B" w14:textId="77777777" w:rsidR="001D3022" w:rsidRPr="001D3022" w:rsidRDefault="001D3022" w:rsidP="001D3022">
      <w:pPr>
        <w:spacing w:after="240"/>
        <w:ind w:left="720"/>
        <w:jc w:val="both"/>
        <w:rPr>
          <w:rFonts w:ascii="Times New Roman" w:eastAsia="Times New Roman" w:hAnsi="Times New Roman" w:cs="Times New Roman"/>
          <w:lang w:eastAsia="es-MX"/>
        </w:rPr>
      </w:pPr>
      <w:r w:rsidRPr="001D3022">
        <w:rPr>
          <w:rFonts w:ascii="Times New Roman" w:eastAsia="Times New Roman" w:hAnsi="Times New Roman" w:cs="Times New Roman"/>
          <w:color w:val="000000"/>
          <w:sz w:val="28"/>
          <w:szCs w:val="28"/>
          <w:lang w:eastAsia="es-MX"/>
        </w:rPr>
        <w:tab/>
        <w:t>Tercera línea y posteriores. Cuantas. </w:t>
      </w:r>
    </w:p>
    <w:p w14:paraId="4C17708A" w14:textId="77777777" w:rsidR="001D3022" w:rsidRPr="001D3022" w:rsidRDefault="001D3022" w:rsidP="001D3022">
      <w:pPr>
        <w:numPr>
          <w:ilvl w:val="0"/>
          <w:numId w:val="8"/>
        </w:numPr>
        <w:spacing w:after="240"/>
        <w:jc w:val="both"/>
        <w:textAlignment w:val="baseline"/>
        <w:rPr>
          <w:rFonts w:ascii="Times New Roman" w:eastAsia="Times New Roman" w:hAnsi="Times New Roman" w:cs="Times New Roman"/>
          <w:color w:val="000000"/>
          <w:sz w:val="28"/>
          <w:szCs w:val="28"/>
          <w:lang w:eastAsia="es-MX"/>
        </w:rPr>
      </w:pPr>
      <w:r w:rsidRPr="001D3022">
        <w:rPr>
          <w:rFonts w:ascii="Times New Roman" w:eastAsia="Times New Roman" w:hAnsi="Times New Roman" w:cs="Times New Roman"/>
          <w:color w:val="000000"/>
          <w:sz w:val="28"/>
          <w:szCs w:val="28"/>
          <w:lang w:eastAsia="es-MX"/>
        </w:rPr>
        <w:t>Evolución: Estado actual del paciente (vivo/muerto), fecha de última consulta, fecha de muerte.</w:t>
      </w:r>
    </w:p>
    <w:p w14:paraId="3A453F64" w14:textId="77777777" w:rsidR="001D3022" w:rsidRPr="001D3022" w:rsidRDefault="001D3022" w:rsidP="001D3022">
      <w:pPr>
        <w:rPr>
          <w:rFonts w:ascii="Times New Roman" w:eastAsia="Times New Roman" w:hAnsi="Times New Roman" w:cs="Times New Roman"/>
          <w:lang w:eastAsia="es-MX"/>
        </w:rPr>
      </w:pPr>
    </w:p>
    <w:p w14:paraId="0D9DB054" w14:textId="77777777" w:rsidR="001D3022" w:rsidRPr="001D3022" w:rsidRDefault="001D3022" w:rsidP="001D3022">
      <w:pPr>
        <w:spacing w:before="200" w:after="200"/>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10. ANÁLISIS ESTADÍSTICO.</w:t>
      </w:r>
    </w:p>
    <w:p w14:paraId="7582478D" w14:textId="77777777" w:rsidR="001D3022" w:rsidRPr="001D3022" w:rsidRDefault="001D3022" w:rsidP="001D3022">
      <w:pPr>
        <w:spacing w:before="200" w:after="200"/>
        <w:jc w:val="both"/>
        <w:rPr>
          <w:rFonts w:ascii="Times New Roman" w:eastAsia="Times New Roman" w:hAnsi="Times New Roman" w:cs="Times New Roman"/>
          <w:lang w:eastAsia="es-MX"/>
        </w:rPr>
      </w:pPr>
      <w:r w:rsidRPr="001D3022">
        <w:rPr>
          <w:rFonts w:ascii="Times New Roman" w:eastAsia="Times New Roman" w:hAnsi="Times New Roman" w:cs="Times New Roman"/>
          <w:color w:val="000000"/>
          <w:sz w:val="28"/>
          <w:szCs w:val="28"/>
          <w:shd w:val="clear" w:color="auto" w:fill="FFFFFF"/>
          <w:lang w:eastAsia="es-MX"/>
        </w:rPr>
        <w:t>Las variables cuantitativas se reportarán como medias, desvíos estándar, medianas e intervalos intercuartiles, mientras que las categóricas se reportarán como proporciones. Se informarán intervalos de confianza calculados para cada caso. Para las comparaciones de grupos se usarán el test de Chi Cuadrado para variables categóricas, y el T test o Mann Whitney para las variables continuas. El análisis se realizará con el Software Stata 14.</w:t>
      </w:r>
    </w:p>
    <w:p w14:paraId="21FFDF8A" w14:textId="77777777" w:rsidR="001D3022" w:rsidRPr="001D3022" w:rsidRDefault="001D3022" w:rsidP="001D3022">
      <w:pPr>
        <w:rPr>
          <w:rFonts w:ascii="Times New Roman" w:eastAsia="Times New Roman" w:hAnsi="Times New Roman" w:cs="Times New Roman"/>
          <w:lang w:eastAsia="es-MX"/>
        </w:rPr>
      </w:pPr>
    </w:p>
    <w:p w14:paraId="702F7996" w14:textId="77777777" w:rsidR="001D3022" w:rsidRPr="001D3022" w:rsidRDefault="001D3022" w:rsidP="001D3022">
      <w:pPr>
        <w:spacing w:before="119"/>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 xml:space="preserve">11. CRONOGRAMA DEL ESTUDIO. </w:t>
      </w:r>
      <w:r w:rsidRPr="001D3022">
        <w:rPr>
          <w:rFonts w:ascii="Times New Roman" w:eastAsia="Times New Roman" w:hAnsi="Times New Roman" w:cs="Times New Roman"/>
          <w:color w:val="000000"/>
          <w:sz w:val="28"/>
          <w:szCs w:val="28"/>
          <w:lang w:eastAsia="es-MX"/>
        </w:rPr>
        <w:t>En la siguiente tabla se muestra la planificación e implementación del estudio:</w:t>
      </w:r>
    </w:p>
    <w:p w14:paraId="68586221" w14:textId="77777777" w:rsidR="001D3022" w:rsidRPr="001D3022" w:rsidRDefault="001D3022" w:rsidP="001D3022">
      <w:pPr>
        <w:rPr>
          <w:rFonts w:ascii="Times New Roman" w:eastAsia="Times New Roman" w:hAnsi="Times New Roman" w:cs="Times New Roman"/>
          <w:lang w:eastAsia="es-MX"/>
        </w:rPr>
      </w:pPr>
    </w:p>
    <w:p w14:paraId="21B988E5" w14:textId="6C306D82" w:rsidR="001D3022" w:rsidRPr="001D3022" w:rsidRDefault="001D3022" w:rsidP="001D3022">
      <w:pPr>
        <w:spacing w:before="119"/>
        <w:jc w:val="center"/>
        <w:rPr>
          <w:rFonts w:ascii="Times New Roman" w:eastAsia="Times New Roman" w:hAnsi="Times New Roman" w:cs="Times New Roman"/>
          <w:lang w:eastAsia="es-MX"/>
        </w:rPr>
      </w:pPr>
      <w:r w:rsidRPr="001D3022">
        <w:rPr>
          <w:rFonts w:ascii="Times New Roman" w:eastAsia="Times New Roman" w:hAnsi="Times New Roman" w:cs="Times New Roman"/>
          <w:color w:val="000000"/>
          <w:sz w:val="28"/>
          <w:szCs w:val="28"/>
          <w:bdr w:val="none" w:sz="0" w:space="0" w:color="auto" w:frame="1"/>
          <w:lang w:eastAsia="es-MX"/>
        </w:rPr>
        <w:fldChar w:fldCharType="begin"/>
      </w:r>
      <w:r w:rsidRPr="001D3022">
        <w:rPr>
          <w:rFonts w:ascii="Times New Roman" w:eastAsia="Times New Roman" w:hAnsi="Times New Roman" w:cs="Times New Roman"/>
          <w:color w:val="000000"/>
          <w:sz w:val="28"/>
          <w:szCs w:val="28"/>
          <w:bdr w:val="none" w:sz="0" w:space="0" w:color="auto" w:frame="1"/>
          <w:lang w:eastAsia="es-MX"/>
        </w:rPr>
        <w:instrText xml:space="preserve"> INCLUDEPICTURE "https://lh4.googleusercontent.com/nBvcBVbG4lzoDR3Qo9B5qfnh4XG0KwPpXS68JyfGXXbXp9kFa9aUTgf1UH1SZ0t_uJxxl0MgW5bE19ArBAzEDdzHa1vQkIexQqeZ2gctLefeinFwpGEyoWsXPA8YxOX-nmJKIeeKug2hLlKyaA" \* MERGEFORMATINET </w:instrText>
      </w:r>
      <w:r w:rsidRPr="001D3022">
        <w:rPr>
          <w:rFonts w:ascii="Times New Roman" w:eastAsia="Times New Roman" w:hAnsi="Times New Roman" w:cs="Times New Roman"/>
          <w:color w:val="000000"/>
          <w:sz w:val="28"/>
          <w:szCs w:val="28"/>
          <w:bdr w:val="none" w:sz="0" w:space="0" w:color="auto" w:frame="1"/>
          <w:lang w:eastAsia="es-MX"/>
        </w:rPr>
        <w:fldChar w:fldCharType="separate"/>
      </w:r>
      <w:r w:rsidRPr="001D3022">
        <w:rPr>
          <w:rFonts w:ascii="Times New Roman" w:eastAsia="Times New Roman" w:hAnsi="Times New Roman" w:cs="Times New Roman"/>
          <w:noProof/>
          <w:color w:val="000000"/>
          <w:sz w:val="28"/>
          <w:szCs w:val="28"/>
          <w:bdr w:val="none" w:sz="0" w:space="0" w:color="auto" w:frame="1"/>
          <w:lang w:eastAsia="es-MX"/>
        </w:rPr>
        <w:drawing>
          <wp:inline distT="0" distB="0" distL="0" distR="0" wp14:anchorId="63A2CE09" wp14:editId="6A2A19E6">
            <wp:extent cx="5816600" cy="2933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6600" cy="2933700"/>
                    </a:xfrm>
                    <a:prstGeom prst="rect">
                      <a:avLst/>
                    </a:prstGeom>
                    <a:noFill/>
                    <a:ln>
                      <a:noFill/>
                    </a:ln>
                  </pic:spPr>
                </pic:pic>
              </a:graphicData>
            </a:graphic>
          </wp:inline>
        </w:drawing>
      </w:r>
      <w:r w:rsidRPr="001D3022">
        <w:rPr>
          <w:rFonts w:ascii="Times New Roman" w:eastAsia="Times New Roman" w:hAnsi="Times New Roman" w:cs="Times New Roman"/>
          <w:color w:val="000000"/>
          <w:sz w:val="28"/>
          <w:szCs w:val="28"/>
          <w:bdr w:val="none" w:sz="0" w:space="0" w:color="auto" w:frame="1"/>
          <w:lang w:eastAsia="es-MX"/>
        </w:rPr>
        <w:fldChar w:fldCharType="end"/>
      </w:r>
    </w:p>
    <w:p w14:paraId="65C58B29" w14:textId="77777777" w:rsidR="001D3022" w:rsidRPr="001D3022" w:rsidRDefault="001D3022" w:rsidP="001D3022">
      <w:pPr>
        <w:rPr>
          <w:rFonts w:ascii="Times New Roman" w:eastAsia="Times New Roman" w:hAnsi="Times New Roman" w:cs="Times New Roman"/>
          <w:lang w:eastAsia="es-MX"/>
        </w:rPr>
      </w:pPr>
    </w:p>
    <w:p w14:paraId="66789928" w14:textId="77777777" w:rsidR="001D3022" w:rsidRPr="001D3022" w:rsidRDefault="001D3022" w:rsidP="001D3022">
      <w:pPr>
        <w:spacing w:before="119"/>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 xml:space="preserve">12. FINANCIACIÓN. </w:t>
      </w:r>
      <w:r w:rsidRPr="001D3022">
        <w:rPr>
          <w:rFonts w:ascii="Times New Roman" w:eastAsia="Times New Roman" w:hAnsi="Times New Roman" w:cs="Times New Roman"/>
          <w:color w:val="000000"/>
          <w:sz w:val="28"/>
          <w:szCs w:val="28"/>
          <w:lang w:eastAsia="es-MX"/>
        </w:rPr>
        <w:t>El estudio será retrospectivo, y observacional. Los investigadores a cargo realizarán la revisión de las historias clínicas. No existe costo de estudios ni ocasionará gastos adicionales para el paciente ni su cobertura médica.</w:t>
      </w:r>
    </w:p>
    <w:p w14:paraId="3B9877A3" w14:textId="6F41ABF1" w:rsidR="001D3022" w:rsidRPr="001D3022" w:rsidRDefault="001D3022" w:rsidP="001D3022">
      <w:pPr>
        <w:spacing w:after="240"/>
        <w:rPr>
          <w:rFonts w:ascii="Times New Roman" w:eastAsia="Times New Roman" w:hAnsi="Times New Roman" w:cs="Times New Roman"/>
          <w:lang w:eastAsia="es-MX"/>
        </w:rPr>
      </w:pPr>
      <w:r w:rsidRPr="001D3022">
        <w:rPr>
          <w:rFonts w:ascii="Times New Roman" w:eastAsia="Times New Roman" w:hAnsi="Times New Roman" w:cs="Times New Roman"/>
          <w:lang w:eastAsia="es-MX"/>
        </w:rPr>
        <w:br/>
      </w:r>
    </w:p>
    <w:p w14:paraId="63327577"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b/>
          <w:bCs/>
          <w:color w:val="000000"/>
          <w:sz w:val="28"/>
          <w:szCs w:val="28"/>
          <w:lang w:val="en-US" w:eastAsia="es-MX"/>
        </w:rPr>
        <w:t>13. BIBLIOGRAFÍA. </w:t>
      </w:r>
    </w:p>
    <w:p w14:paraId="21D13A7D"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 xml:space="preserve">1. Banks et al. Mantle cell lymphoma. A proposal for unification of morphologic, </w:t>
      </w:r>
      <w:proofErr w:type="spellStart"/>
      <w:r w:rsidRPr="001D3022">
        <w:rPr>
          <w:rFonts w:ascii="Times New Roman" w:eastAsia="Times New Roman" w:hAnsi="Times New Roman" w:cs="Times New Roman"/>
          <w:color w:val="000000"/>
          <w:sz w:val="28"/>
          <w:szCs w:val="28"/>
          <w:lang w:val="en-US" w:eastAsia="es-MX"/>
        </w:rPr>
        <w:t>inmunologic</w:t>
      </w:r>
      <w:proofErr w:type="spellEnd"/>
      <w:r w:rsidRPr="001D3022">
        <w:rPr>
          <w:rFonts w:ascii="Times New Roman" w:eastAsia="Times New Roman" w:hAnsi="Times New Roman" w:cs="Times New Roman"/>
          <w:color w:val="000000"/>
          <w:sz w:val="28"/>
          <w:szCs w:val="28"/>
          <w:lang w:val="en-US" w:eastAsia="es-MX"/>
        </w:rPr>
        <w:t xml:space="preserve">, and molecular data. Am J Surg </w:t>
      </w:r>
      <w:proofErr w:type="spellStart"/>
      <w:r w:rsidRPr="001D3022">
        <w:rPr>
          <w:rFonts w:ascii="Times New Roman" w:eastAsia="Times New Roman" w:hAnsi="Times New Roman" w:cs="Times New Roman"/>
          <w:color w:val="000000"/>
          <w:sz w:val="28"/>
          <w:szCs w:val="28"/>
          <w:lang w:val="en-US" w:eastAsia="es-MX"/>
        </w:rPr>
        <w:t>Pathol</w:t>
      </w:r>
      <w:proofErr w:type="spellEnd"/>
      <w:r w:rsidRPr="001D3022">
        <w:rPr>
          <w:rFonts w:ascii="Times New Roman" w:eastAsia="Times New Roman" w:hAnsi="Times New Roman" w:cs="Times New Roman"/>
          <w:color w:val="000000"/>
          <w:sz w:val="28"/>
          <w:szCs w:val="28"/>
          <w:lang w:val="en-US" w:eastAsia="es-MX"/>
        </w:rPr>
        <w:t>. 1992. </w:t>
      </w:r>
    </w:p>
    <w:p w14:paraId="72BD823B"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2. Shah et al. Mantle cell lymphoma: A clinically heterogeneous disease in need of tailored approaches. Cancer Control. 2012. </w:t>
      </w:r>
    </w:p>
    <w:p w14:paraId="6B3A13CE"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3. Al-</w:t>
      </w:r>
      <w:proofErr w:type="spellStart"/>
      <w:r w:rsidRPr="001D3022">
        <w:rPr>
          <w:rFonts w:ascii="Times New Roman" w:eastAsia="Times New Roman" w:hAnsi="Times New Roman" w:cs="Times New Roman"/>
          <w:color w:val="000000"/>
          <w:sz w:val="28"/>
          <w:szCs w:val="28"/>
          <w:lang w:val="en-US" w:eastAsia="es-MX"/>
        </w:rPr>
        <w:t>Hamadani</w:t>
      </w:r>
      <w:proofErr w:type="spellEnd"/>
      <w:r w:rsidRPr="001D3022">
        <w:rPr>
          <w:rFonts w:ascii="Times New Roman" w:eastAsia="Times New Roman" w:hAnsi="Times New Roman" w:cs="Times New Roman"/>
          <w:color w:val="000000"/>
          <w:sz w:val="28"/>
          <w:szCs w:val="28"/>
          <w:lang w:val="en-US" w:eastAsia="es-MX"/>
        </w:rPr>
        <w:t xml:space="preserve"> et al. </w:t>
      </w:r>
      <w:proofErr w:type="gramStart"/>
      <w:r w:rsidRPr="001D3022">
        <w:rPr>
          <w:rFonts w:ascii="Times New Roman" w:eastAsia="Times New Roman" w:hAnsi="Times New Roman" w:cs="Times New Roman"/>
          <w:color w:val="000000"/>
          <w:sz w:val="28"/>
          <w:szCs w:val="28"/>
          <w:lang w:val="en-US" w:eastAsia="es-MX"/>
        </w:rPr>
        <w:t>Non Hodgkin</w:t>
      </w:r>
      <w:proofErr w:type="gramEnd"/>
      <w:r w:rsidRPr="001D3022">
        <w:rPr>
          <w:rFonts w:ascii="Times New Roman" w:eastAsia="Times New Roman" w:hAnsi="Times New Roman" w:cs="Times New Roman"/>
          <w:color w:val="000000"/>
          <w:sz w:val="28"/>
          <w:szCs w:val="28"/>
          <w:lang w:val="en-US" w:eastAsia="es-MX"/>
        </w:rPr>
        <w:t xml:space="preserve"> lymphoma geodemographic patterns, and survival in the USA: A longitudinal analysis of the National Cancer Data Base from 1998 to 2011. Am J </w:t>
      </w:r>
      <w:proofErr w:type="spellStart"/>
      <w:r w:rsidRPr="001D3022">
        <w:rPr>
          <w:rFonts w:ascii="Times New Roman" w:eastAsia="Times New Roman" w:hAnsi="Times New Roman" w:cs="Times New Roman"/>
          <w:color w:val="000000"/>
          <w:sz w:val="28"/>
          <w:szCs w:val="28"/>
          <w:lang w:val="en-US" w:eastAsia="es-MX"/>
        </w:rPr>
        <w:t>Hematol</w:t>
      </w:r>
      <w:proofErr w:type="spellEnd"/>
      <w:r w:rsidRPr="001D3022">
        <w:rPr>
          <w:rFonts w:ascii="Times New Roman" w:eastAsia="Times New Roman" w:hAnsi="Times New Roman" w:cs="Times New Roman"/>
          <w:color w:val="000000"/>
          <w:sz w:val="28"/>
          <w:szCs w:val="28"/>
          <w:lang w:val="en-US" w:eastAsia="es-MX"/>
        </w:rPr>
        <w:t>. 2015. </w:t>
      </w:r>
    </w:p>
    <w:p w14:paraId="2E16C823"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 xml:space="preserve">4. </w:t>
      </w:r>
      <w:proofErr w:type="spellStart"/>
      <w:r w:rsidRPr="001D3022">
        <w:rPr>
          <w:rFonts w:ascii="Times New Roman" w:eastAsia="Times New Roman" w:hAnsi="Times New Roman" w:cs="Times New Roman"/>
          <w:color w:val="000000"/>
          <w:sz w:val="28"/>
          <w:szCs w:val="28"/>
          <w:lang w:val="en-US" w:eastAsia="es-MX"/>
        </w:rPr>
        <w:t>Smedby</w:t>
      </w:r>
      <w:proofErr w:type="spellEnd"/>
      <w:r w:rsidRPr="001D3022">
        <w:rPr>
          <w:rFonts w:ascii="Times New Roman" w:eastAsia="Times New Roman" w:hAnsi="Times New Roman" w:cs="Times New Roman"/>
          <w:color w:val="000000"/>
          <w:sz w:val="28"/>
          <w:szCs w:val="28"/>
          <w:lang w:val="en-US" w:eastAsia="es-MX"/>
        </w:rPr>
        <w:t xml:space="preserve"> and </w:t>
      </w:r>
      <w:proofErr w:type="spellStart"/>
      <w:r w:rsidRPr="001D3022">
        <w:rPr>
          <w:rFonts w:ascii="Times New Roman" w:eastAsia="Times New Roman" w:hAnsi="Times New Roman" w:cs="Times New Roman"/>
          <w:color w:val="000000"/>
          <w:sz w:val="28"/>
          <w:szCs w:val="28"/>
          <w:lang w:val="en-US" w:eastAsia="es-MX"/>
        </w:rPr>
        <w:t>Hjalgrim</w:t>
      </w:r>
      <w:proofErr w:type="spellEnd"/>
      <w:r w:rsidRPr="001D3022">
        <w:rPr>
          <w:rFonts w:ascii="Times New Roman" w:eastAsia="Times New Roman" w:hAnsi="Times New Roman" w:cs="Times New Roman"/>
          <w:color w:val="000000"/>
          <w:sz w:val="28"/>
          <w:szCs w:val="28"/>
          <w:lang w:val="en-US" w:eastAsia="es-MX"/>
        </w:rPr>
        <w:t>. Epidemiology and etiology of mantle cell lymphoma and other non-Hodgkin lymphoma subtypes. Semin Cancer Biol. 2011.</w:t>
      </w:r>
    </w:p>
    <w:p w14:paraId="3B08BBC2"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 xml:space="preserve">5. Wang et al. Risk factor for etiology and prognosis of mantle cell lymphoma. Expert Rev </w:t>
      </w:r>
      <w:proofErr w:type="spellStart"/>
      <w:r w:rsidRPr="001D3022">
        <w:rPr>
          <w:rFonts w:ascii="Times New Roman" w:eastAsia="Times New Roman" w:hAnsi="Times New Roman" w:cs="Times New Roman"/>
          <w:color w:val="000000"/>
          <w:sz w:val="28"/>
          <w:szCs w:val="28"/>
          <w:lang w:val="en-US" w:eastAsia="es-MX"/>
        </w:rPr>
        <w:t>hematol</w:t>
      </w:r>
      <w:proofErr w:type="spellEnd"/>
      <w:r w:rsidRPr="001D3022">
        <w:rPr>
          <w:rFonts w:ascii="Times New Roman" w:eastAsia="Times New Roman" w:hAnsi="Times New Roman" w:cs="Times New Roman"/>
          <w:color w:val="000000"/>
          <w:sz w:val="28"/>
          <w:szCs w:val="28"/>
          <w:lang w:val="en-US" w:eastAsia="es-MX"/>
        </w:rPr>
        <w:t>. 2014.</w:t>
      </w:r>
    </w:p>
    <w:p w14:paraId="5917E189"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6. Chandran et al. Survival trends in mantle cell lymphoma in the United States over 16 years 1992-2007. Leuk Lymphoma. 2012.</w:t>
      </w:r>
    </w:p>
    <w:p w14:paraId="0434195E" w14:textId="77777777" w:rsidR="001D3022" w:rsidRPr="00400439"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 xml:space="preserve">7. </w:t>
      </w:r>
      <w:proofErr w:type="spellStart"/>
      <w:r w:rsidRPr="001D3022">
        <w:rPr>
          <w:rFonts w:ascii="Times New Roman" w:eastAsia="Times New Roman" w:hAnsi="Times New Roman" w:cs="Times New Roman"/>
          <w:color w:val="000000"/>
          <w:sz w:val="28"/>
          <w:szCs w:val="28"/>
          <w:lang w:val="en-US" w:eastAsia="es-MX"/>
        </w:rPr>
        <w:t>Aschebrook-Kilfoy</w:t>
      </w:r>
      <w:proofErr w:type="spellEnd"/>
      <w:r w:rsidRPr="001D3022">
        <w:rPr>
          <w:rFonts w:ascii="Times New Roman" w:eastAsia="Times New Roman" w:hAnsi="Times New Roman" w:cs="Times New Roman"/>
          <w:color w:val="000000"/>
          <w:sz w:val="28"/>
          <w:szCs w:val="28"/>
          <w:lang w:val="en-US" w:eastAsia="es-MX"/>
        </w:rPr>
        <w:t xml:space="preserve"> et al. An upward in the age specific incidence patterns for mantle cell lymphoma in the USA. </w:t>
      </w:r>
      <w:r w:rsidRPr="00400439">
        <w:rPr>
          <w:rFonts w:ascii="Times New Roman" w:eastAsia="Times New Roman" w:hAnsi="Times New Roman" w:cs="Times New Roman"/>
          <w:color w:val="000000"/>
          <w:sz w:val="28"/>
          <w:szCs w:val="28"/>
          <w:lang w:val="en-US" w:eastAsia="es-MX"/>
        </w:rPr>
        <w:t>Leuk Lymphoma. 2013.</w:t>
      </w:r>
    </w:p>
    <w:p w14:paraId="5DBDE165"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 xml:space="preserve">8. </w:t>
      </w:r>
      <w:proofErr w:type="spellStart"/>
      <w:r w:rsidRPr="001D3022">
        <w:rPr>
          <w:rFonts w:ascii="Times New Roman" w:eastAsia="Times New Roman" w:hAnsi="Times New Roman" w:cs="Times New Roman"/>
          <w:color w:val="000000"/>
          <w:sz w:val="28"/>
          <w:szCs w:val="28"/>
          <w:lang w:val="en-US" w:eastAsia="es-MX"/>
        </w:rPr>
        <w:t>Laurini</w:t>
      </w:r>
      <w:proofErr w:type="spellEnd"/>
      <w:r w:rsidRPr="001D3022">
        <w:rPr>
          <w:rFonts w:ascii="Times New Roman" w:eastAsia="Times New Roman" w:hAnsi="Times New Roman" w:cs="Times New Roman"/>
          <w:color w:val="000000"/>
          <w:sz w:val="28"/>
          <w:szCs w:val="28"/>
          <w:lang w:val="en-US" w:eastAsia="es-MX"/>
        </w:rPr>
        <w:t xml:space="preserve"> et al. Classification of non-Hodgkin lymphoma in Central and South America: a review of 1028 cases. Blood. 2012. </w:t>
      </w:r>
    </w:p>
    <w:p w14:paraId="587CCD03"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 xml:space="preserve">9. Mela y </w:t>
      </w:r>
      <w:proofErr w:type="spellStart"/>
      <w:r w:rsidRPr="001D3022">
        <w:rPr>
          <w:rFonts w:ascii="Times New Roman" w:eastAsia="Times New Roman" w:hAnsi="Times New Roman" w:cs="Times New Roman"/>
          <w:color w:val="000000"/>
          <w:sz w:val="28"/>
          <w:szCs w:val="28"/>
          <w:lang w:val="en-US" w:eastAsia="es-MX"/>
        </w:rPr>
        <w:t>Pavlovsky</w:t>
      </w:r>
      <w:proofErr w:type="spellEnd"/>
      <w:r w:rsidRPr="001D3022">
        <w:rPr>
          <w:rFonts w:ascii="Times New Roman" w:eastAsia="Times New Roman" w:hAnsi="Times New Roman" w:cs="Times New Roman"/>
          <w:color w:val="000000"/>
          <w:sz w:val="28"/>
          <w:szCs w:val="28"/>
          <w:lang w:val="en-US" w:eastAsia="es-MX"/>
        </w:rPr>
        <w:t>. Epidemiology and treatment patterns in Latin American patients with non-</w:t>
      </w:r>
      <w:proofErr w:type="spellStart"/>
      <w:r w:rsidRPr="001D3022">
        <w:rPr>
          <w:rFonts w:ascii="Times New Roman" w:eastAsia="Times New Roman" w:hAnsi="Times New Roman" w:cs="Times New Roman"/>
          <w:color w:val="000000"/>
          <w:sz w:val="28"/>
          <w:szCs w:val="28"/>
          <w:lang w:val="en-US" w:eastAsia="es-MX"/>
        </w:rPr>
        <w:t>hodgkin's</w:t>
      </w:r>
      <w:proofErr w:type="spellEnd"/>
      <w:r w:rsidRPr="001D3022">
        <w:rPr>
          <w:rFonts w:ascii="Times New Roman" w:eastAsia="Times New Roman" w:hAnsi="Times New Roman" w:cs="Times New Roman"/>
          <w:color w:val="000000"/>
          <w:sz w:val="28"/>
          <w:szCs w:val="28"/>
          <w:lang w:val="en-US" w:eastAsia="es-MX"/>
        </w:rPr>
        <w:t xml:space="preserve"> lymphoma: findings from the </w:t>
      </w:r>
      <w:proofErr w:type="spellStart"/>
      <w:r w:rsidRPr="001D3022">
        <w:rPr>
          <w:rFonts w:ascii="Times New Roman" w:eastAsia="Times New Roman" w:hAnsi="Times New Roman" w:cs="Times New Roman"/>
          <w:color w:val="000000"/>
          <w:sz w:val="28"/>
          <w:szCs w:val="28"/>
          <w:lang w:val="en-US" w:eastAsia="es-MX"/>
        </w:rPr>
        <w:t>hemato</w:t>
      </w:r>
      <w:proofErr w:type="spellEnd"/>
      <w:r w:rsidRPr="001D3022">
        <w:rPr>
          <w:rFonts w:ascii="Times New Roman" w:eastAsia="Times New Roman" w:hAnsi="Times New Roman" w:cs="Times New Roman"/>
          <w:color w:val="000000"/>
          <w:sz w:val="28"/>
          <w:szCs w:val="28"/>
          <w:lang w:val="en-US" w:eastAsia="es-MX"/>
        </w:rPr>
        <w:t xml:space="preserve">-oncology in </w:t>
      </w:r>
      <w:proofErr w:type="spellStart"/>
      <w:r w:rsidRPr="001D3022">
        <w:rPr>
          <w:rFonts w:ascii="Times New Roman" w:eastAsia="Times New Roman" w:hAnsi="Times New Roman" w:cs="Times New Roman"/>
          <w:color w:val="000000"/>
          <w:sz w:val="28"/>
          <w:szCs w:val="28"/>
          <w:lang w:val="en-US" w:eastAsia="es-MX"/>
        </w:rPr>
        <w:t>latin</w:t>
      </w:r>
      <w:proofErr w:type="spellEnd"/>
      <w:r w:rsidRPr="001D3022">
        <w:rPr>
          <w:rFonts w:ascii="Times New Roman" w:eastAsia="Times New Roman" w:hAnsi="Times New Roman" w:cs="Times New Roman"/>
          <w:color w:val="000000"/>
          <w:sz w:val="28"/>
          <w:szCs w:val="28"/>
          <w:lang w:val="en-US" w:eastAsia="es-MX"/>
        </w:rPr>
        <w:t xml:space="preserve"> </w:t>
      </w:r>
      <w:proofErr w:type="spellStart"/>
      <w:r w:rsidRPr="001D3022">
        <w:rPr>
          <w:rFonts w:ascii="Times New Roman" w:eastAsia="Times New Roman" w:hAnsi="Times New Roman" w:cs="Times New Roman"/>
          <w:color w:val="000000"/>
          <w:sz w:val="28"/>
          <w:szCs w:val="28"/>
          <w:lang w:val="en-US" w:eastAsia="es-MX"/>
        </w:rPr>
        <w:t>america</w:t>
      </w:r>
      <w:proofErr w:type="spellEnd"/>
      <w:r w:rsidRPr="001D3022">
        <w:rPr>
          <w:rFonts w:ascii="Times New Roman" w:eastAsia="Times New Roman" w:hAnsi="Times New Roman" w:cs="Times New Roman"/>
          <w:color w:val="000000"/>
          <w:sz w:val="28"/>
          <w:szCs w:val="28"/>
          <w:lang w:val="en-US" w:eastAsia="es-MX"/>
        </w:rPr>
        <w:t xml:space="preserve"> (HOLA) Observational registry study. Poster EHA 2018. </w:t>
      </w:r>
    </w:p>
    <w:p w14:paraId="46D1C674"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 xml:space="preserve">10. </w:t>
      </w:r>
      <w:proofErr w:type="spellStart"/>
      <w:r w:rsidRPr="001D3022">
        <w:rPr>
          <w:rFonts w:ascii="Times New Roman" w:eastAsia="Times New Roman" w:hAnsi="Times New Roman" w:cs="Times New Roman"/>
          <w:color w:val="000000"/>
          <w:sz w:val="28"/>
          <w:szCs w:val="28"/>
          <w:lang w:val="en-US" w:eastAsia="es-MX"/>
        </w:rPr>
        <w:t>Ponzoni</w:t>
      </w:r>
      <w:proofErr w:type="spellEnd"/>
      <w:r w:rsidRPr="001D3022">
        <w:rPr>
          <w:rFonts w:ascii="Times New Roman" w:eastAsia="Times New Roman" w:hAnsi="Times New Roman" w:cs="Times New Roman"/>
          <w:color w:val="000000"/>
          <w:sz w:val="28"/>
          <w:szCs w:val="28"/>
          <w:lang w:val="en-US" w:eastAsia="es-MX"/>
        </w:rPr>
        <w:t xml:space="preserve"> et al. The cellular origin of mantle cell lymphoma. </w:t>
      </w:r>
      <w:proofErr w:type="spellStart"/>
      <w:r w:rsidRPr="001D3022">
        <w:rPr>
          <w:rFonts w:ascii="Times New Roman" w:eastAsia="Times New Roman" w:hAnsi="Times New Roman" w:cs="Times New Roman"/>
          <w:color w:val="000000"/>
          <w:sz w:val="28"/>
          <w:szCs w:val="28"/>
          <w:lang w:val="en-US" w:eastAsia="es-MX"/>
        </w:rPr>
        <w:t>Biocel</w:t>
      </w:r>
      <w:proofErr w:type="spellEnd"/>
      <w:r w:rsidRPr="001D3022">
        <w:rPr>
          <w:rFonts w:ascii="Times New Roman" w:eastAsia="Times New Roman" w:hAnsi="Times New Roman" w:cs="Times New Roman"/>
          <w:color w:val="000000"/>
          <w:sz w:val="28"/>
          <w:szCs w:val="28"/>
          <w:lang w:val="en-US" w:eastAsia="es-MX"/>
        </w:rPr>
        <w:t>. 2007.</w:t>
      </w:r>
    </w:p>
    <w:p w14:paraId="78B72C39"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 xml:space="preserve">11. </w:t>
      </w:r>
      <w:proofErr w:type="spellStart"/>
      <w:r w:rsidRPr="001D3022">
        <w:rPr>
          <w:rFonts w:ascii="Times New Roman" w:eastAsia="Times New Roman" w:hAnsi="Times New Roman" w:cs="Times New Roman"/>
          <w:color w:val="000000"/>
          <w:sz w:val="28"/>
          <w:szCs w:val="28"/>
          <w:lang w:val="en-US" w:eastAsia="es-MX"/>
        </w:rPr>
        <w:t>Swerdlow</w:t>
      </w:r>
      <w:proofErr w:type="spellEnd"/>
      <w:r w:rsidRPr="001D3022">
        <w:rPr>
          <w:rFonts w:ascii="Times New Roman" w:eastAsia="Times New Roman" w:hAnsi="Times New Roman" w:cs="Times New Roman"/>
          <w:color w:val="000000"/>
          <w:sz w:val="28"/>
          <w:szCs w:val="28"/>
          <w:lang w:val="en-US" w:eastAsia="es-MX"/>
        </w:rPr>
        <w:t xml:space="preserve"> et al. Mantle cell lymphoma in: WHO classification of tumors. Pathology and genetics of </w:t>
      </w:r>
      <w:proofErr w:type="spellStart"/>
      <w:r w:rsidRPr="001D3022">
        <w:rPr>
          <w:rFonts w:ascii="Times New Roman" w:eastAsia="Times New Roman" w:hAnsi="Times New Roman" w:cs="Times New Roman"/>
          <w:color w:val="000000"/>
          <w:sz w:val="28"/>
          <w:szCs w:val="28"/>
          <w:lang w:val="en-US" w:eastAsia="es-MX"/>
        </w:rPr>
        <w:t>tumours</w:t>
      </w:r>
      <w:proofErr w:type="spellEnd"/>
      <w:r w:rsidRPr="001D3022">
        <w:rPr>
          <w:rFonts w:ascii="Times New Roman" w:eastAsia="Times New Roman" w:hAnsi="Times New Roman" w:cs="Times New Roman"/>
          <w:color w:val="000000"/>
          <w:sz w:val="28"/>
          <w:szCs w:val="28"/>
          <w:lang w:val="en-US" w:eastAsia="es-MX"/>
        </w:rPr>
        <w:t xml:space="preserve"> of hematopoietic and lymphoid tissues. IARC press. 2001.</w:t>
      </w:r>
    </w:p>
    <w:p w14:paraId="26288FFA"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12. Duggan et al. Mantle zone lymphoma. A clinicopathologic study of 22 cases. Cancer</w:t>
      </w:r>
    </w:p>
    <w:p w14:paraId="7D283AAA"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1990.</w:t>
      </w:r>
    </w:p>
    <w:p w14:paraId="0B5F8B97"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 xml:space="preserve">13. </w:t>
      </w:r>
      <w:proofErr w:type="spellStart"/>
      <w:r w:rsidRPr="001D3022">
        <w:rPr>
          <w:rFonts w:ascii="Times New Roman" w:eastAsia="Times New Roman" w:hAnsi="Times New Roman" w:cs="Times New Roman"/>
          <w:color w:val="000000"/>
          <w:sz w:val="28"/>
          <w:szCs w:val="28"/>
          <w:lang w:val="en-US" w:eastAsia="es-MX"/>
        </w:rPr>
        <w:t>Swerdlow</w:t>
      </w:r>
      <w:proofErr w:type="spellEnd"/>
      <w:r w:rsidRPr="001D3022">
        <w:rPr>
          <w:rFonts w:ascii="Times New Roman" w:eastAsia="Times New Roman" w:hAnsi="Times New Roman" w:cs="Times New Roman"/>
          <w:color w:val="000000"/>
          <w:sz w:val="28"/>
          <w:szCs w:val="28"/>
          <w:lang w:val="en-US" w:eastAsia="es-MX"/>
        </w:rPr>
        <w:t xml:space="preserve"> et al. </w:t>
      </w:r>
      <w:proofErr w:type="spellStart"/>
      <w:r w:rsidRPr="001D3022">
        <w:rPr>
          <w:rFonts w:ascii="Times New Roman" w:eastAsia="Times New Roman" w:hAnsi="Times New Roman" w:cs="Times New Roman"/>
          <w:color w:val="000000"/>
          <w:sz w:val="28"/>
          <w:szCs w:val="28"/>
          <w:lang w:val="en-US" w:eastAsia="es-MX"/>
        </w:rPr>
        <w:t>Centrocytic</w:t>
      </w:r>
      <w:proofErr w:type="spellEnd"/>
      <w:r w:rsidRPr="001D3022">
        <w:rPr>
          <w:rFonts w:ascii="Times New Roman" w:eastAsia="Times New Roman" w:hAnsi="Times New Roman" w:cs="Times New Roman"/>
          <w:color w:val="000000"/>
          <w:sz w:val="28"/>
          <w:szCs w:val="28"/>
          <w:lang w:val="en-US" w:eastAsia="es-MX"/>
        </w:rPr>
        <w:t xml:space="preserve"> </w:t>
      </w:r>
      <w:proofErr w:type="spellStart"/>
      <w:proofErr w:type="gramStart"/>
      <w:r w:rsidRPr="001D3022">
        <w:rPr>
          <w:rFonts w:ascii="Times New Roman" w:eastAsia="Times New Roman" w:hAnsi="Times New Roman" w:cs="Times New Roman"/>
          <w:color w:val="000000"/>
          <w:sz w:val="28"/>
          <w:szCs w:val="28"/>
          <w:lang w:val="en-US" w:eastAsia="es-MX"/>
        </w:rPr>
        <w:t>lymphoma:a</w:t>
      </w:r>
      <w:proofErr w:type="spellEnd"/>
      <w:proofErr w:type="gramEnd"/>
      <w:r w:rsidRPr="001D3022">
        <w:rPr>
          <w:rFonts w:ascii="Times New Roman" w:eastAsia="Times New Roman" w:hAnsi="Times New Roman" w:cs="Times New Roman"/>
          <w:color w:val="000000"/>
          <w:sz w:val="28"/>
          <w:szCs w:val="28"/>
          <w:lang w:val="en-US" w:eastAsia="es-MX"/>
        </w:rPr>
        <w:t xml:space="preserve"> distinct clinicopathologic and immunologic entity. A multiparameter study of 18 cases at diagnosis and relapse. Am J </w:t>
      </w:r>
      <w:proofErr w:type="spellStart"/>
      <w:r w:rsidRPr="001D3022">
        <w:rPr>
          <w:rFonts w:ascii="Times New Roman" w:eastAsia="Times New Roman" w:hAnsi="Times New Roman" w:cs="Times New Roman"/>
          <w:color w:val="000000"/>
          <w:sz w:val="28"/>
          <w:szCs w:val="28"/>
          <w:lang w:val="en-US" w:eastAsia="es-MX"/>
        </w:rPr>
        <w:t>Pathol</w:t>
      </w:r>
      <w:proofErr w:type="spellEnd"/>
      <w:r w:rsidRPr="001D3022">
        <w:rPr>
          <w:rFonts w:ascii="Times New Roman" w:eastAsia="Times New Roman" w:hAnsi="Times New Roman" w:cs="Times New Roman"/>
          <w:color w:val="000000"/>
          <w:sz w:val="28"/>
          <w:szCs w:val="28"/>
          <w:lang w:val="en-US" w:eastAsia="es-MX"/>
        </w:rPr>
        <w:t>. 1983.</w:t>
      </w:r>
    </w:p>
    <w:p w14:paraId="6B7ACED5"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 xml:space="preserve">14. </w:t>
      </w:r>
      <w:proofErr w:type="spellStart"/>
      <w:r w:rsidRPr="001D3022">
        <w:rPr>
          <w:rFonts w:ascii="Times New Roman" w:eastAsia="Times New Roman" w:hAnsi="Times New Roman" w:cs="Times New Roman"/>
          <w:color w:val="000000"/>
          <w:sz w:val="28"/>
          <w:szCs w:val="28"/>
          <w:lang w:val="en-US" w:eastAsia="es-MX"/>
        </w:rPr>
        <w:t>Weisenburger</w:t>
      </w:r>
      <w:proofErr w:type="spellEnd"/>
      <w:r w:rsidRPr="001D3022">
        <w:rPr>
          <w:rFonts w:ascii="Times New Roman" w:eastAsia="Times New Roman" w:hAnsi="Times New Roman" w:cs="Times New Roman"/>
          <w:color w:val="000000"/>
          <w:sz w:val="28"/>
          <w:szCs w:val="28"/>
          <w:lang w:val="en-US" w:eastAsia="es-MX"/>
        </w:rPr>
        <w:t xml:space="preserve"> et al. Mantle-zone lymphoma: a follicular variant of intermediate lymphocytic</w:t>
      </w:r>
    </w:p>
    <w:p w14:paraId="615DBD4F" w14:textId="77777777" w:rsidR="001D3022" w:rsidRPr="001D3022" w:rsidRDefault="001D3022" w:rsidP="001D3022">
      <w:pPr>
        <w:spacing w:before="119"/>
        <w:jc w:val="both"/>
        <w:rPr>
          <w:rFonts w:ascii="Times New Roman" w:eastAsia="Times New Roman" w:hAnsi="Times New Roman" w:cs="Times New Roman"/>
          <w:lang w:eastAsia="es-MX"/>
        </w:rPr>
      </w:pPr>
      <w:r w:rsidRPr="001D3022">
        <w:rPr>
          <w:rFonts w:ascii="Times New Roman" w:eastAsia="Times New Roman" w:hAnsi="Times New Roman" w:cs="Times New Roman"/>
          <w:color w:val="000000"/>
          <w:sz w:val="28"/>
          <w:szCs w:val="28"/>
          <w:lang w:eastAsia="es-MX"/>
        </w:rPr>
        <w:t>lymphoma. Cancer. 1982. </w:t>
      </w:r>
    </w:p>
    <w:p w14:paraId="64346A52"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eastAsia="es-MX"/>
        </w:rPr>
        <w:t xml:space="preserve">15. Kimura et al. </w:t>
      </w:r>
      <w:r w:rsidRPr="001D3022">
        <w:rPr>
          <w:rFonts w:ascii="Times New Roman" w:eastAsia="Times New Roman" w:hAnsi="Times New Roman" w:cs="Times New Roman"/>
          <w:color w:val="000000"/>
          <w:sz w:val="28"/>
          <w:szCs w:val="28"/>
          <w:lang w:val="en-US" w:eastAsia="es-MX"/>
        </w:rPr>
        <w:t>Small cell variant of mantle cell lymphoma is an indolent lymphoma characterized by bone marrow involvement, splenomegaly, and a low Ki-67 index. Cancer Sci. 2011. </w:t>
      </w:r>
    </w:p>
    <w:p w14:paraId="49DFB7D6"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 xml:space="preserve">16. Espinet et al. Clonal proliferation of cyclin D1-positive mantle lymphocytes in an asymptomatic patient: an early stage event in the development or an indolent form of a mantle cell </w:t>
      </w:r>
      <w:proofErr w:type="gramStart"/>
      <w:r w:rsidRPr="001D3022">
        <w:rPr>
          <w:rFonts w:ascii="Times New Roman" w:eastAsia="Times New Roman" w:hAnsi="Times New Roman" w:cs="Times New Roman"/>
          <w:color w:val="000000"/>
          <w:sz w:val="28"/>
          <w:szCs w:val="28"/>
          <w:lang w:val="en-US" w:eastAsia="es-MX"/>
        </w:rPr>
        <w:t>lymphoma?.</w:t>
      </w:r>
      <w:proofErr w:type="gramEnd"/>
      <w:r w:rsidRPr="001D3022">
        <w:rPr>
          <w:rFonts w:ascii="Times New Roman" w:eastAsia="Times New Roman" w:hAnsi="Times New Roman" w:cs="Times New Roman"/>
          <w:color w:val="000000"/>
          <w:sz w:val="28"/>
          <w:szCs w:val="28"/>
          <w:lang w:val="en-US" w:eastAsia="es-MX"/>
        </w:rPr>
        <w:t xml:space="preserve"> Hum </w:t>
      </w:r>
      <w:proofErr w:type="spellStart"/>
      <w:r w:rsidRPr="001D3022">
        <w:rPr>
          <w:rFonts w:ascii="Times New Roman" w:eastAsia="Times New Roman" w:hAnsi="Times New Roman" w:cs="Times New Roman"/>
          <w:color w:val="000000"/>
          <w:sz w:val="28"/>
          <w:szCs w:val="28"/>
          <w:lang w:val="en-US" w:eastAsia="es-MX"/>
        </w:rPr>
        <w:t>Pathol</w:t>
      </w:r>
      <w:proofErr w:type="spellEnd"/>
      <w:r w:rsidRPr="001D3022">
        <w:rPr>
          <w:rFonts w:ascii="Times New Roman" w:eastAsia="Times New Roman" w:hAnsi="Times New Roman" w:cs="Times New Roman"/>
          <w:color w:val="000000"/>
          <w:sz w:val="28"/>
          <w:szCs w:val="28"/>
          <w:lang w:val="en-US" w:eastAsia="es-MX"/>
        </w:rPr>
        <w:t>. 2005.</w:t>
      </w:r>
    </w:p>
    <w:p w14:paraId="269C63BC"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 xml:space="preserve">17. Carvajal-Cuenca et al. In situ mantle cell lymphoma: clinical implication of an incidental finding with indolent clinical behavior. </w:t>
      </w:r>
      <w:proofErr w:type="spellStart"/>
      <w:r w:rsidRPr="001D3022">
        <w:rPr>
          <w:rFonts w:ascii="Times New Roman" w:eastAsia="Times New Roman" w:hAnsi="Times New Roman" w:cs="Times New Roman"/>
          <w:color w:val="000000"/>
          <w:sz w:val="28"/>
          <w:szCs w:val="28"/>
          <w:lang w:val="en-US" w:eastAsia="es-MX"/>
        </w:rPr>
        <w:t>Haematologica</w:t>
      </w:r>
      <w:proofErr w:type="spellEnd"/>
      <w:r w:rsidRPr="001D3022">
        <w:rPr>
          <w:rFonts w:ascii="Times New Roman" w:eastAsia="Times New Roman" w:hAnsi="Times New Roman" w:cs="Times New Roman"/>
          <w:color w:val="000000"/>
          <w:sz w:val="28"/>
          <w:szCs w:val="28"/>
          <w:lang w:val="en-US" w:eastAsia="es-MX"/>
        </w:rPr>
        <w:t>. 2012.</w:t>
      </w:r>
    </w:p>
    <w:p w14:paraId="58AAF8B7"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 xml:space="preserve">18. Nanba et al. Alkaline phosphatase-positive malignant lymphoma. A subtype of B-cell lymphomas. Am J Clin </w:t>
      </w:r>
      <w:proofErr w:type="spellStart"/>
      <w:r w:rsidRPr="001D3022">
        <w:rPr>
          <w:rFonts w:ascii="Times New Roman" w:eastAsia="Times New Roman" w:hAnsi="Times New Roman" w:cs="Times New Roman"/>
          <w:color w:val="000000"/>
          <w:sz w:val="28"/>
          <w:szCs w:val="28"/>
          <w:lang w:val="en-US" w:eastAsia="es-MX"/>
        </w:rPr>
        <w:t>Pathol</w:t>
      </w:r>
      <w:proofErr w:type="spellEnd"/>
      <w:r w:rsidRPr="001D3022">
        <w:rPr>
          <w:rFonts w:ascii="Times New Roman" w:eastAsia="Times New Roman" w:hAnsi="Times New Roman" w:cs="Times New Roman"/>
          <w:color w:val="000000"/>
          <w:sz w:val="28"/>
          <w:szCs w:val="28"/>
          <w:lang w:val="en-US" w:eastAsia="es-MX"/>
        </w:rPr>
        <w:t>. 1977.</w:t>
      </w:r>
    </w:p>
    <w:p w14:paraId="32146105"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 xml:space="preserve">19. Xu et al. CD10-positive mantle cell lymphoma: clinicopathologic and prognostic study of 30 cases. </w:t>
      </w:r>
      <w:proofErr w:type="spellStart"/>
      <w:r w:rsidRPr="001D3022">
        <w:rPr>
          <w:rFonts w:ascii="Times New Roman" w:eastAsia="Times New Roman" w:hAnsi="Times New Roman" w:cs="Times New Roman"/>
          <w:color w:val="000000"/>
          <w:sz w:val="28"/>
          <w:szCs w:val="28"/>
          <w:lang w:val="en-US" w:eastAsia="es-MX"/>
        </w:rPr>
        <w:t>Oncotarget</w:t>
      </w:r>
      <w:proofErr w:type="spellEnd"/>
      <w:r w:rsidRPr="001D3022">
        <w:rPr>
          <w:rFonts w:ascii="Times New Roman" w:eastAsia="Times New Roman" w:hAnsi="Times New Roman" w:cs="Times New Roman"/>
          <w:color w:val="000000"/>
          <w:sz w:val="28"/>
          <w:szCs w:val="28"/>
          <w:lang w:val="en-US" w:eastAsia="es-MX"/>
        </w:rPr>
        <w:t>. 2018. </w:t>
      </w:r>
    </w:p>
    <w:p w14:paraId="52DABCCE"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 xml:space="preserve">20. </w:t>
      </w:r>
      <w:proofErr w:type="spellStart"/>
      <w:r w:rsidRPr="001D3022">
        <w:rPr>
          <w:rFonts w:ascii="Times New Roman" w:eastAsia="Times New Roman" w:hAnsi="Times New Roman" w:cs="Times New Roman"/>
          <w:color w:val="000000"/>
          <w:sz w:val="28"/>
          <w:szCs w:val="28"/>
          <w:lang w:val="en-US" w:eastAsia="es-MX"/>
        </w:rPr>
        <w:t>Gualco</w:t>
      </w:r>
      <w:proofErr w:type="spellEnd"/>
      <w:r w:rsidRPr="001D3022">
        <w:rPr>
          <w:rFonts w:ascii="Times New Roman" w:eastAsia="Times New Roman" w:hAnsi="Times New Roman" w:cs="Times New Roman"/>
          <w:color w:val="000000"/>
          <w:sz w:val="28"/>
          <w:szCs w:val="28"/>
          <w:lang w:val="en-US" w:eastAsia="es-MX"/>
        </w:rPr>
        <w:t xml:space="preserve"> et al. BCL6, MUM</w:t>
      </w:r>
      <w:proofErr w:type="gramStart"/>
      <w:r w:rsidRPr="001D3022">
        <w:rPr>
          <w:rFonts w:ascii="Times New Roman" w:eastAsia="Times New Roman" w:hAnsi="Times New Roman" w:cs="Times New Roman"/>
          <w:color w:val="000000"/>
          <w:sz w:val="28"/>
          <w:szCs w:val="28"/>
          <w:lang w:val="en-US" w:eastAsia="es-MX"/>
        </w:rPr>
        <w:t>1,and</w:t>
      </w:r>
      <w:proofErr w:type="gramEnd"/>
      <w:r w:rsidRPr="001D3022">
        <w:rPr>
          <w:rFonts w:ascii="Times New Roman" w:eastAsia="Times New Roman" w:hAnsi="Times New Roman" w:cs="Times New Roman"/>
          <w:color w:val="000000"/>
          <w:sz w:val="28"/>
          <w:szCs w:val="28"/>
          <w:lang w:val="en-US" w:eastAsia="es-MX"/>
        </w:rPr>
        <w:t xml:space="preserve"> CD10 expression in mantle cell lymphoma. Appl </w:t>
      </w:r>
      <w:proofErr w:type="spellStart"/>
      <w:r w:rsidRPr="001D3022">
        <w:rPr>
          <w:rFonts w:ascii="Times New Roman" w:eastAsia="Times New Roman" w:hAnsi="Times New Roman" w:cs="Times New Roman"/>
          <w:color w:val="000000"/>
          <w:sz w:val="28"/>
          <w:szCs w:val="28"/>
          <w:lang w:val="en-US" w:eastAsia="es-MX"/>
        </w:rPr>
        <w:t>Immunohistochem</w:t>
      </w:r>
      <w:proofErr w:type="spellEnd"/>
      <w:r w:rsidRPr="001D3022">
        <w:rPr>
          <w:rFonts w:ascii="Times New Roman" w:eastAsia="Times New Roman" w:hAnsi="Times New Roman" w:cs="Times New Roman"/>
          <w:color w:val="000000"/>
          <w:sz w:val="28"/>
          <w:szCs w:val="28"/>
          <w:lang w:val="en-US" w:eastAsia="es-MX"/>
        </w:rPr>
        <w:t xml:space="preserve"> Mol </w:t>
      </w:r>
      <w:proofErr w:type="spellStart"/>
      <w:r w:rsidRPr="001D3022">
        <w:rPr>
          <w:rFonts w:ascii="Times New Roman" w:eastAsia="Times New Roman" w:hAnsi="Times New Roman" w:cs="Times New Roman"/>
          <w:color w:val="000000"/>
          <w:sz w:val="28"/>
          <w:szCs w:val="28"/>
          <w:lang w:val="en-US" w:eastAsia="es-MX"/>
        </w:rPr>
        <w:t>Morphol</w:t>
      </w:r>
      <w:proofErr w:type="spellEnd"/>
      <w:r w:rsidRPr="001D3022">
        <w:rPr>
          <w:rFonts w:ascii="Times New Roman" w:eastAsia="Times New Roman" w:hAnsi="Times New Roman" w:cs="Times New Roman"/>
          <w:color w:val="000000"/>
          <w:sz w:val="28"/>
          <w:szCs w:val="28"/>
          <w:lang w:val="en-US" w:eastAsia="es-MX"/>
        </w:rPr>
        <w:t>. 2010.</w:t>
      </w:r>
    </w:p>
    <w:p w14:paraId="2C8A0952"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 xml:space="preserve">22.Bertoni y </w:t>
      </w:r>
      <w:proofErr w:type="spellStart"/>
      <w:r w:rsidRPr="001D3022">
        <w:rPr>
          <w:rFonts w:ascii="Times New Roman" w:eastAsia="Times New Roman" w:hAnsi="Times New Roman" w:cs="Times New Roman"/>
          <w:color w:val="000000"/>
          <w:sz w:val="28"/>
          <w:szCs w:val="28"/>
          <w:lang w:val="en-US" w:eastAsia="es-MX"/>
        </w:rPr>
        <w:t>Ponzoni</w:t>
      </w:r>
      <w:proofErr w:type="spellEnd"/>
      <w:r w:rsidRPr="001D3022">
        <w:rPr>
          <w:rFonts w:ascii="Times New Roman" w:eastAsia="Times New Roman" w:hAnsi="Times New Roman" w:cs="Times New Roman"/>
          <w:color w:val="000000"/>
          <w:sz w:val="28"/>
          <w:szCs w:val="28"/>
          <w:lang w:val="en-US" w:eastAsia="es-MX"/>
        </w:rPr>
        <w:t xml:space="preserve">. The cellular origin of mantle cell </w:t>
      </w:r>
      <w:proofErr w:type="spellStart"/>
      <w:proofErr w:type="gramStart"/>
      <w:r w:rsidRPr="001D3022">
        <w:rPr>
          <w:rFonts w:ascii="Times New Roman" w:eastAsia="Times New Roman" w:hAnsi="Times New Roman" w:cs="Times New Roman"/>
          <w:color w:val="000000"/>
          <w:sz w:val="28"/>
          <w:szCs w:val="28"/>
          <w:lang w:val="en-US" w:eastAsia="es-MX"/>
        </w:rPr>
        <w:t>lymphoma.Int</w:t>
      </w:r>
      <w:proofErr w:type="spellEnd"/>
      <w:proofErr w:type="gramEnd"/>
      <w:r w:rsidRPr="001D3022">
        <w:rPr>
          <w:rFonts w:ascii="Times New Roman" w:eastAsia="Times New Roman" w:hAnsi="Times New Roman" w:cs="Times New Roman"/>
          <w:color w:val="000000"/>
          <w:sz w:val="28"/>
          <w:szCs w:val="28"/>
          <w:lang w:val="en-US" w:eastAsia="es-MX"/>
        </w:rPr>
        <w:t xml:space="preserve"> J </w:t>
      </w:r>
      <w:proofErr w:type="spellStart"/>
      <w:r w:rsidRPr="001D3022">
        <w:rPr>
          <w:rFonts w:ascii="Times New Roman" w:eastAsia="Times New Roman" w:hAnsi="Times New Roman" w:cs="Times New Roman"/>
          <w:color w:val="000000"/>
          <w:sz w:val="28"/>
          <w:szCs w:val="28"/>
          <w:lang w:val="en-US" w:eastAsia="es-MX"/>
        </w:rPr>
        <w:t>Biochem</w:t>
      </w:r>
      <w:proofErr w:type="spellEnd"/>
      <w:r w:rsidRPr="001D3022">
        <w:rPr>
          <w:rFonts w:ascii="Times New Roman" w:eastAsia="Times New Roman" w:hAnsi="Times New Roman" w:cs="Times New Roman"/>
          <w:color w:val="000000"/>
          <w:sz w:val="28"/>
          <w:szCs w:val="28"/>
          <w:lang w:val="en-US" w:eastAsia="es-MX"/>
        </w:rPr>
        <w:t xml:space="preserve"> Cell Biol. 2007.</w:t>
      </w:r>
    </w:p>
    <w:p w14:paraId="46946A80"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 xml:space="preserve">23. </w:t>
      </w:r>
      <w:proofErr w:type="spellStart"/>
      <w:r w:rsidRPr="001D3022">
        <w:rPr>
          <w:rFonts w:ascii="Times New Roman" w:eastAsia="Times New Roman" w:hAnsi="Times New Roman" w:cs="Times New Roman"/>
          <w:color w:val="000000"/>
          <w:sz w:val="28"/>
          <w:szCs w:val="28"/>
          <w:lang w:val="en-US" w:eastAsia="es-MX"/>
        </w:rPr>
        <w:t>Vaandrager</w:t>
      </w:r>
      <w:proofErr w:type="spellEnd"/>
      <w:r w:rsidRPr="001D3022">
        <w:rPr>
          <w:rFonts w:ascii="Times New Roman" w:eastAsia="Times New Roman" w:hAnsi="Times New Roman" w:cs="Times New Roman"/>
          <w:color w:val="000000"/>
          <w:sz w:val="28"/>
          <w:szCs w:val="28"/>
          <w:lang w:val="en-US" w:eastAsia="es-MX"/>
        </w:rPr>
        <w:t xml:space="preserve"> et al. Direct visualization of dispersed 11q13 chromosomal translocations in mantle cell lymphoma by multicolor DNA fiber fluorescence in situ hybridization. Blood. 1996.</w:t>
      </w:r>
    </w:p>
    <w:p w14:paraId="46C696ED"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 xml:space="preserve">24. </w:t>
      </w:r>
      <w:proofErr w:type="spellStart"/>
      <w:r w:rsidRPr="001D3022">
        <w:rPr>
          <w:rFonts w:ascii="Times New Roman" w:eastAsia="Times New Roman" w:hAnsi="Times New Roman" w:cs="Times New Roman"/>
          <w:color w:val="000000"/>
          <w:sz w:val="28"/>
          <w:szCs w:val="28"/>
          <w:lang w:val="en-US" w:eastAsia="es-MX"/>
        </w:rPr>
        <w:t>Pinyol</w:t>
      </w:r>
      <w:proofErr w:type="spellEnd"/>
      <w:r w:rsidRPr="001D3022">
        <w:rPr>
          <w:rFonts w:ascii="Times New Roman" w:eastAsia="Times New Roman" w:hAnsi="Times New Roman" w:cs="Times New Roman"/>
          <w:color w:val="000000"/>
          <w:sz w:val="28"/>
          <w:szCs w:val="28"/>
          <w:lang w:val="en-US" w:eastAsia="es-MX"/>
        </w:rPr>
        <w:t xml:space="preserve"> et al. Deletions and loss of expression of p16INK4a and p21Waf1 genes are associated with aggressive variants of mantle cell lymphomas. Blood. 1997.</w:t>
      </w:r>
    </w:p>
    <w:p w14:paraId="4B98E78D"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25. Greiner et al. P53 mutations in mantle cell lymphoma are associated with variant cytology and predict a poor prognosis. Blood. 1996.</w:t>
      </w:r>
    </w:p>
    <w:p w14:paraId="43F7E3D0"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26. Greiner et al. Mutation and genomic deletion status of ataxia telangiectasia mutated (ATM) and p53 confer specific gene expression profiles in mantle cell lymphoma. PNAS. 2006.</w:t>
      </w:r>
    </w:p>
    <w:p w14:paraId="17EB895E" w14:textId="77777777" w:rsidR="001D3022" w:rsidRPr="001D3022" w:rsidRDefault="001D3022" w:rsidP="001D3022">
      <w:pPr>
        <w:spacing w:before="119"/>
        <w:jc w:val="both"/>
        <w:rPr>
          <w:rFonts w:ascii="Times New Roman" w:eastAsia="Times New Roman" w:hAnsi="Times New Roman" w:cs="Times New Roman"/>
          <w:lang w:val="en-US" w:eastAsia="es-MX"/>
        </w:rPr>
      </w:pPr>
      <w:r w:rsidRPr="001D3022">
        <w:rPr>
          <w:rFonts w:ascii="Times New Roman" w:eastAsia="Times New Roman" w:hAnsi="Times New Roman" w:cs="Times New Roman"/>
          <w:color w:val="000000"/>
          <w:sz w:val="28"/>
          <w:szCs w:val="28"/>
          <w:lang w:val="en-US" w:eastAsia="es-MX"/>
        </w:rPr>
        <w:t xml:space="preserve">27. Orchard et al. A subset of </w:t>
      </w:r>
      <w:proofErr w:type="gramStart"/>
      <w:r w:rsidRPr="001D3022">
        <w:rPr>
          <w:rFonts w:ascii="Times New Roman" w:eastAsia="Times New Roman" w:hAnsi="Times New Roman" w:cs="Times New Roman"/>
          <w:color w:val="000000"/>
          <w:sz w:val="28"/>
          <w:szCs w:val="28"/>
          <w:lang w:val="en-US" w:eastAsia="es-MX"/>
        </w:rPr>
        <w:t>t(</w:t>
      </w:r>
      <w:proofErr w:type="gramEnd"/>
      <w:r w:rsidRPr="001D3022">
        <w:rPr>
          <w:rFonts w:ascii="Times New Roman" w:eastAsia="Times New Roman" w:hAnsi="Times New Roman" w:cs="Times New Roman"/>
          <w:color w:val="000000"/>
          <w:sz w:val="28"/>
          <w:szCs w:val="28"/>
          <w:lang w:val="en-US" w:eastAsia="es-MX"/>
        </w:rPr>
        <w:t xml:space="preserve">11;14) lymphoma with mantle cell features displays mutated </w:t>
      </w:r>
      <w:proofErr w:type="spellStart"/>
      <w:r w:rsidRPr="001D3022">
        <w:rPr>
          <w:rFonts w:ascii="Times New Roman" w:eastAsia="Times New Roman" w:hAnsi="Times New Roman" w:cs="Times New Roman"/>
          <w:color w:val="000000"/>
          <w:sz w:val="28"/>
          <w:szCs w:val="28"/>
          <w:lang w:val="en-US" w:eastAsia="es-MX"/>
        </w:rPr>
        <w:t>IgVH</w:t>
      </w:r>
      <w:proofErr w:type="spellEnd"/>
      <w:r w:rsidRPr="001D3022">
        <w:rPr>
          <w:rFonts w:ascii="Times New Roman" w:eastAsia="Times New Roman" w:hAnsi="Times New Roman" w:cs="Times New Roman"/>
          <w:color w:val="000000"/>
          <w:sz w:val="28"/>
          <w:szCs w:val="28"/>
          <w:lang w:val="en-US" w:eastAsia="es-MX"/>
        </w:rPr>
        <w:t xml:space="preserve"> genes and includes patients with good prognosis, </w:t>
      </w:r>
      <w:proofErr w:type="spellStart"/>
      <w:r w:rsidRPr="001D3022">
        <w:rPr>
          <w:rFonts w:ascii="Times New Roman" w:eastAsia="Times New Roman" w:hAnsi="Times New Roman" w:cs="Times New Roman"/>
          <w:color w:val="000000"/>
          <w:sz w:val="28"/>
          <w:szCs w:val="28"/>
          <w:lang w:val="en-US" w:eastAsia="es-MX"/>
        </w:rPr>
        <w:t>non nodal</w:t>
      </w:r>
      <w:proofErr w:type="spellEnd"/>
      <w:r w:rsidRPr="001D3022">
        <w:rPr>
          <w:rFonts w:ascii="Times New Roman" w:eastAsia="Times New Roman" w:hAnsi="Times New Roman" w:cs="Times New Roman"/>
          <w:color w:val="000000"/>
          <w:sz w:val="28"/>
          <w:szCs w:val="28"/>
          <w:lang w:val="en-US" w:eastAsia="es-MX"/>
        </w:rPr>
        <w:t xml:space="preserve"> disease. Blood. 2003.</w:t>
      </w:r>
    </w:p>
    <w:p w14:paraId="420196B7" w14:textId="77777777" w:rsidR="001D3022" w:rsidRPr="001D3022" w:rsidRDefault="001D3022" w:rsidP="001D3022">
      <w:pPr>
        <w:spacing w:before="119"/>
        <w:jc w:val="both"/>
        <w:rPr>
          <w:rFonts w:ascii="Times New Roman" w:eastAsia="Times New Roman" w:hAnsi="Times New Roman" w:cs="Times New Roman"/>
          <w:lang w:eastAsia="es-MX"/>
        </w:rPr>
      </w:pPr>
      <w:r w:rsidRPr="001D3022">
        <w:rPr>
          <w:rFonts w:ascii="Times New Roman" w:eastAsia="Times New Roman" w:hAnsi="Times New Roman" w:cs="Times New Roman"/>
          <w:color w:val="000000"/>
          <w:sz w:val="28"/>
          <w:szCs w:val="28"/>
          <w:lang w:val="en-US" w:eastAsia="es-MX"/>
        </w:rPr>
        <w:t xml:space="preserve">28. Le </w:t>
      </w:r>
      <w:proofErr w:type="spellStart"/>
      <w:r w:rsidRPr="001D3022">
        <w:rPr>
          <w:rFonts w:ascii="Times New Roman" w:eastAsia="Times New Roman" w:hAnsi="Times New Roman" w:cs="Times New Roman"/>
          <w:color w:val="000000"/>
          <w:sz w:val="28"/>
          <w:szCs w:val="28"/>
          <w:lang w:val="en-US" w:eastAsia="es-MX"/>
        </w:rPr>
        <w:t>Gouilln</w:t>
      </w:r>
      <w:proofErr w:type="spellEnd"/>
      <w:r w:rsidRPr="001D3022">
        <w:rPr>
          <w:rFonts w:ascii="Times New Roman" w:eastAsia="Times New Roman" w:hAnsi="Times New Roman" w:cs="Times New Roman"/>
          <w:color w:val="000000"/>
          <w:sz w:val="28"/>
          <w:szCs w:val="28"/>
          <w:lang w:val="en-US" w:eastAsia="es-MX"/>
        </w:rPr>
        <w:t xml:space="preserve"> et al. Rituximab after Autologous Stem-Cell </w:t>
      </w:r>
      <w:proofErr w:type="spellStart"/>
      <w:r w:rsidRPr="001D3022">
        <w:rPr>
          <w:rFonts w:ascii="Times New Roman" w:eastAsia="Times New Roman" w:hAnsi="Times New Roman" w:cs="Times New Roman"/>
          <w:color w:val="000000"/>
          <w:sz w:val="28"/>
          <w:szCs w:val="28"/>
          <w:lang w:val="en-US" w:eastAsia="es-MX"/>
        </w:rPr>
        <w:t>Trasplantation</w:t>
      </w:r>
      <w:proofErr w:type="spellEnd"/>
      <w:r w:rsidRPr="001D3022">
        <w:rPr>
          <w:rFonts w:ascii="Times New Roman" w:eastAsia="Times New Roman" w:hAnsi="Times New Roman" w:cs="Times New Roman"/>
          <w:color w:val="000000"/>
          <w:sz w:val="28"/>
          <w:szCs w:val="28"/>
          <w:lang w:val="en-US" w:eastAsia="es-MX"/>
        </w:rPr>
        <w:t xml:space="preserve"> in Mantle Cell Lymphoma. </w:t>
      </w:r>
      <w:r w:rsidRPr="001D3022">
        <w:rPr>
          <w:rFonts w:ascii="Times New Roman" w:eastAsia="Times New Roman" w:hAnsi="Times New Roman" w:cs="Times New Roman"/>
          <w:color w:val="000000"/>
          <w:sz w:val="28"/>
          <w:szCs w:val="28"/>
          <w:lang w:eastAsia="es-MX"/>
        </w:rPr>
        <w:t>N Engl J med. 2017.</w:t>
      </w:r>
    </w:p>
    <w:p w14:paraId="51FFD3D4" w14:textId="77777777" w:rsidR="001D3022" w:rsidRPr="001D3022" w:rsidRDefault="001D3022" w:rsidP="001D3022">
      <w:pPr>
        <w:rPr>
          <w:rFonts w:ascii="Times New Roman" w:eastAsia="Times New Roman" w:hAnsi="Times New Roman" w:cs="Times New Roman"/>
          <w:lang w:eastAsia="es-MX"/>
        </w:rPr>
      </w:pPr>
    </w:p>
    <w:p w14:paraId="55036267" w14:textId="77777777" w:rsidR="001D3022" w:rsidRDefault="001D3022"/>
    <w:sectPr w:rsidR="001D30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F45"/>
    <w:multiLevelType w:val="multilevel"/>
    <w:tmpl w:val="DF764D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20F061C8"/>
    <w:multiLevelType w:val="multilevel"/>
    <w:tmpl w:val="0A547B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E62AA"/>
    <w:multiLevelType w:val="multilevel"/>
    <w:tmpl w:val="B77CA2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31C69"/>
    <w:multiLevelType w:val="multilevel"/>
    <w:tmpl w:val="38B835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C37EB"/>
    <w:multiLevelType w:val="multilevel"/>
    <w:tmpl w:val="DFAA256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0A1ECA"/>
    <w:multiLevelType w:val="multilevel"/>
    <w:tmpl w:val="DFEAAE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3A5C9B"/>
    <w:multiLevelType w:val="multilevel"/>
    <w:tmpl w:val="052823F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786068"/>
    <w:multiLevelType w:val="multilevel"/>
    <w:tmpl w:val="83FA83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99131347">
    <w:abstractNumId w:val="0"/>
    <w:lvlOverride w:ilvl="0">
      <w:lvl w:ilvl="0">
        <w:numFmt w:val="lowerLetter"/>
        <w:lvlText w:val="%1."/>
        <w:lvlJc w:val="left"/>
      </w:lvl>
    </w:lvlOverride>
  </w:num>
  <w:num w:numId="2" w16cid:durableId="332806510">
    <w:abstractNumId w:val="4"/>
  </w:num>
  <w:num w:numId="3" w16cid:durableId="1740396976">
    <w:abstractNumId w:val="2"/>
  </w:num>
  <w:num w:numId="4" w16cid:durableId="2116824873">
    <w:abstractNumId w:val="5"/>
  </w:num>
  <w:num w:numId="5" w16cid:durableId="38938399">
    <w:abstractNumId w:val="3"/>
  </w:num>
  <w:num w:numId="6" w16cid:durableId="2037849721">
    <w:abstractNumId w:val="6"/>
  </w:num>
  <w:num w:numId="7" w16cid:durableId="972489981">
    <w:abstractNumId w:val="1"/>
  </w:num>
  <w:num w:numId="8" w16cid:durableId="26377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4"/>
  <w:doNotDisplayPageBoundaries/>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22"/>
    <w:rsid w:val="0008459C"/>
    <w:rsid w:val="001D3022"/>
    <w:rsid w:val="003A5F8D"/>
    <w:rsid w:val="00400439"/>
    <w:rsid w:val="005559C6"/>
    <w:rsid w:val="00B262AB"/>
    <w:rsid w:val="00C45E32"/>
    <w:rsid w:val="00D23FFB"/>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ecimalSymbol w:val=","/>
  <w:listSeparator w:val=";"/>
  <w14:docId w14:val="05FB5838"/>
  <w15:chartTrackingRefBased/>
  <w15:docId w15:val="{2E0BD8AD-6857-554D-B36B-6BC4EDAD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V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D3022"/>
    <w:pPr>
      <w:spacing w:before="100" w:beforeAutospacing="1" w:after="100" w:afterAutospacing="1"/>
    </w:pPr>
    <w:rPr>
      <w:rFonts w:ascii="Times New Roman" w:eastAsia="Times New Roman" w:hAnsi="Times New Roman" w:cs="Times New Roman"/>
      <w:lang w:eastAsia="es-MX"/>
    </w:rPr>
  </w:style>
  <w:style w:type="character" w:customStyle="1" w:styleId="apple-tab-span">
    <w:name w:val="apple-tab-span"/>
    <w:basedOn w:val="Fuentedeprrafopredeter"/>
    <w:rsid w:val="001D3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81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2296</Words>
  <Characters>12628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Torres</dc:creator>
  <cp:keywords/>
  <dc:description/>
  <cp:lastModifiedBy>Maria Torres</cp:lastModifiedBy>
  <cp:revision>7</cp:revision>
  <dcterms:created xsi:type="dcterms:W3CDTF">2022-06-16T17:37:00Z</dcterms:created>
  <dcterms:modified xsi:type="dcterms:W3CDTF">2023-04-22T21:23:00Z</dcterms:modified>
</cp:coreProperties>
</file>